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21330" w:rsidRPr="00367781" w:rsidRDefault="00E41BA6" w:rsidP="00D54152">
      <w:pPr>
        <w:spacing w:after="120" w:line="240" w:lineRule="auto"/>
        <w:rPr>
          <w:rStyle w:val="Fett"/>
          <w:rFonts w:ascii="Arial" w:hAnsi="Arial" w:cs="Arial"/>
          <w:sz w:val="36"/>
          <w:szCs w:val="20"/>
        </w:rPr>
      </w:pPr>
      <w:r>
        <w:rPr>
          <w:rStyle w:val="Fett"/>
          <w:rFonts w:ascii="Arial" w:hAnsi="Arial" w:cs="Arial"/>
          <w:sz w:val="36"/>
          <w:szCs w:val="20"/>
        </w:rPr>
        <w:t>Cyber-Resilienz im Hafen: Innovative IT Architektur sichert die Kommunikation in See- und Binnenhäfen</w:t>
      </w:r>
    </w:p>
    <w:p w:rsidR="003B6D57" w:rsidRPr="00367781" w:rsidRDefault="00E41BA6" w:rsidP="003B6D57">
      <w:pPr>
        <w:rPr>
          <w:rFonts w:ascii="Arial" w:hAnsi="Arial" w:cs="Arial"/>
          <w:b/>
          <w:bCs/>
          <w:sz w:val="24"/>
          <w:szCs w:val="28"/>
        </w:rPr>
      </w:pPr>
      <w:r>
        <w:rPr>
          <w:rFonts w:ascii="Arial" w:hAnsi="Arial" w:cs="Arial"/>
          <w:b/>
          <w:bCs/>
          <w:sz w:val="24"/>
          <w:szCs w:val="28"/>
        </w:rPr>
        <w:t xml:space="preserve">Forschungsprojekt </w:t>
      </w:r>
      <w:proofErr w:type="spellStart"/>
      <w:r>
        <w:rPr>
          <w:rFonts w:ascii="Arial" w:hAnsi="Arial" w:cs="Arial"/>
          <w:b/>
          <w:bCs/>
          <w:sz w:val="24"/>
          <w:szCs w:val="28"/>
        </w:rPr>
        <w:t>SecProPort</w:t>
      </w:r>
      <w:proofErr w:type="spellEnd"/>
      <w:r>
        <w:rPr>
          <w:rFonts w:ascii="Arial" w:hAnsi="Arial" w:cs="Arial"/>
          <w:b/>
          <w:bCs/>
          <w:sz w:val="24"/>
          <w:szCs w:val="28"/>
        </w:rPr>
        <w:t xml:space="preserve"> erfolgreich abgeschlossen</w:t>
      </w:r>
    </w:p>
    <w:p w:rsidR="00D470CF" w:rsidRPr="00367781" w:rsidRDefault="00D470CF" w:rsidP="003B6D57">
      <w:pPr>
        <w:rPr>
          <w:rStyle w:val="Fett"/>
          <w:rFonts w:ascii="Arial" w:hAnsi="Arial" w:cs="Arial"/>
          <w:sz w:val="20"/>
          <w:szCs w:val="20"/>
        </w:rPr>
      </w:pPr>
    </w:p>
    <w:p w:rsidR="00D470CF" w:rsidRPr="00367781" w:rsidRDefault="00C21330" w:rsidP="006C3B89">
      <w:pPr>
        <w:rPr>
          <w:rFonts w:ascii="Arial" w:hAnsi="Arial" w:cs="Arial"/>
          <w:sz w:val="20"/>
          <w:szCs w:val="20"/>
        </w:rPr>
      </w:pPr>
      <w:r w:rsidRPr="00367781">
        <w:rPr>
          <w:rFonts w:ascii="Arial" w:hAnsi="Arial" w:cs="Arial"/>
          <w:b/>
          <w:sz w:val="20"/>
          <w:szCs w:val="20"/>
        </w:rPr>
        <w:t xml:space="preserve">Bremen, </w:t>
      </w:r>
      <w:r w:rsidR="00441E0F">
        <w:rPr>
          <w:rFonts w:ascii="Arial" w:hAnsi="Arial" w:cs="Arial"/>
          <w:b/>
          <w:sz w:val="20"/>
          <w:szCs w:val="20"/>
        </w:rPr>
        <w:t>07.03.2022</w:t>
      </w:r>
    </w:p>
    <w:p w:rsidR="00E41BA6" w:rsidRPr="00E41BA6" w:rsidRDefault="00B022DB" w:rsidP="00E41BA6">
      <w:pPr>
        <w:rPr>
          <w:rFonts w:ascii="Arial" w:hAnsi="Arial" w:cs="Arial"/>
          <w:sz w:val="20"/>
          <w:szCs w:val="20"/>
        </w:rPr>
      </w:pPr>
      <w:r w:rsidRPr="004B2718">
        <w:rPr>
          <w:rFonts w:ascii="Arial" w:hAnsi="Arial" w:cs="Arial"/>
          <w:noProof/>
          <w:sz w:val="20"/>
          <w:szCs w:val="20"/>
        </w:rPr>
        <mc:AlternateContent>
          <mc:Choice Requires="wps">
            <w:drawing>
              <wp:anchor distT="45720" distB="45720" distL="114300" distR="114300" simplePos="0" relativeHeight="251661312" behindDoc="0" locked="0" layoutInCell="1" allowOverlap="1">
                <wp:simplePos x="0" y="0"/>
                <wp:positionH relativeFrom="column">
                  <wp:posOffset>-405765</wp:posOffset>
                </wp:positionH>
                <wp:positionV relativeFrom="paragraph">
                  <wp:posOffset>203835</wp:posOffset>
                </wp:positionV>
                <wp:extent cx="2657475" cy="3923665"/>
                <wp:effectExtent l="0" t="0" r="9525" b="635"/>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7475" cy="3923665"/>
                        </a:xfrm>
                        <a:prstGeom prst="rect">
                          <a:avLst/>
                        </a:prstGeom>
                        <a:solidFill>
                          <a:srgbClr val="FFFFFF"/>
                        </a:solidFill>
                        <a:ln w="9525">
                          <a:noFill/>
                          <a:miter lim="800000"/>
                          <a:headEnd/>
                          <a:tailEnd/>
                        </a:ln>
                      </wps:spPr>
                      <wps:txbx>
                        <w:txbxContent>
                          <w:p w:rsidR="004B2718" w:rsidRDefault="004B2718" w:rsidP="00E41BA6">
                            <w:pPr>
                              <w:tabs>
                                <w:tab w:val="left" w:pos="567"/>
                              </w:tabs>
                              <w:ind w:left="142" w:hanging="142"/>
                            </w:pPr>
                            <w:r>
                              <w:t xml:space="preserve">  </w:t>
                            </w:r>
                            <w:r>
                              <w:rPr>
                                <w:noProof/>
                              </w:rPr>
                              <w:drawing>
                                <wp:inline distT="0" distB="0" distL="0" distR="0" wp14:anchorId="5D6D74A2" wp14:editId="3E37A9FE">
                                  <wp:extent cx="2057324" cy="2099310"/>
                                  <wp:effectExtent l="0" t="0" r="635" b="0"/>
                                  <wp:docPr id="4" name="Grafik 4"/>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8">
                                            <a:extLst>
                                              <a:ext uri="{28A0092B-C50C-407E-A947-70E740481C1C}">
                                                <a14:useLocalDpi xmlns:a14="http://schemas.microsoft.com/office/drawing/2010/main" val="0"/>
                                              </a:ext>
                                            </a:extLst>
                                          </a:blip>
                                          <a:stretch>
                                            <a:fillRect/>
                                          </a:stretch>
                                        </pic:blipFill>
                                        <pic:spPr>
                                          <a:xfrm>
                                            <a:off x="0" y="0"/>
                                            <a:ext cx="2057324" cy="2099310"/>
                                          </a:xfrm>
                                          <a:prstGeom prst="rect">
                                            <a:avLst/>
                                          </a:prstGeom>
                                        </pic:spPr>
                                      </pic:pic>
                                    </a:graphicData>
                                  </a:graphic>
                                </wp:inline>
                              </w:drawing>
                            </w:r>
                            <w:r w:rsidR="00E41BA6">
                              <w:rPr>
                                <w:noProof/>
                              </w:rPr>
                              <w:t xml:space="preserve">    </w:t>
                            </w:r>
                            <w:r>
                              <w:rPr>
                                <w:noProof/>
                              </w:rPr>
                              <w:drawing>
                                <wp:inline distT="0" distB="0" distL="0" distR="0" wp14:anchorId="7E2B9F89" wp14:editId="55A588DC">
                                  <wp:extent cx="2066925" cy="1767205"/>
                                  <wp:effectExtent l="0" t="0" r="9525" b="4445"/>
                                  <wp:docPr id="9" name="Grafik 9"/>
                                  <wp:cNvGraphicFramePr/>
                                  <a:graphic xmlns:a="http://schemas.openxmlformats.org/drawingml/2006/main">
                                    <a:graphicData uri="http://schemas.openxmlformats.org/drawingml/2006/picture">
                                      <pic:pic xmlns:pic="http://schemas.openxmlformats.org/drawingml/2006/picture">
                                        <pic:nvPicPr>
                                          <pic:cNvPr id="9" name="Grafik 9"/>
                                          <pic:cNvPicPr/>
                                        </pic:nvPicPr>
                                        <pic:blipFill rotWithShape="1">
                                          <a:blip r:embed="rId9">
                                            <a:extLst>
                                              <a:ext uri="{28A0092B-C50C-407E-A947-70E740481C1C}">
                                                <a14:useLocalDpi xmlns:a14="http://schemas.microsoft.com/office/drawing/2010/main" val="0"/>
                                              </a:ext>
                                            </a:extLst>
                                          </a:blip>
                                          <a:srcRect l="15493" r="22118"/>
                                          <a:stretch/>
                                        </pic:blipFill>
                                        <pic:spPr bwMode="auto">
                                          <a:xfrm>
                                            <a:off x="0" y="0"/>
                                            <a:ext cx="2066925" cy="1767205"/>
                                          </a:xfrm>
                                          <a:prstGeom prst="rect">
                                            <a:avLst/>
                                          </a:prstGeom>
                                          <a:ln>
                                            <a:noFill/>
                                          </a:ln>
                                          <a:extLst>
                                            <a:ext uri="{53640926-AAD7-44D8-BBD7-CCE9431645EC}">
                                              <a14:shadowObscured xmlns:a14="http://schemas.microsoft.com/office/drawing/2010/main"/>
                                            </a:ext>
                                          </a:extLst>
                                        </pic:spPr>
                                      </pic:pic>
                                    </a:graphicData>
                                  </a:graphic>
                                </wp:inline>
                              </w:drawing>
                            </w:r>
                          </w:p>
                          <w:p w:rsidR="004B2718" w:rsidRDefault="004B271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31.95pt;margin-top:16.05pt;width:209.25pt;height:308.9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" stroked="f">
                <v:textbox>
                  <w:txbxContent>
                    <w:p w:rsidR="004B2718" w:rsidRDefault="004B2718" w:rsidP="00E41BA6">
                      <w:pPr>
                        <w:tabs>
                          <w:tab w:val="left" w:pos="567"/>
                        </w:tabs>
                        <w:ind w:left="142" w:hanging="142"/>
                      </w:pPr>
                      <w:r>
                        <w:t xml:space="preserve">  </w:t>
                      </w:r>
                      <w:r>
                        <w:rPr>
                          <w:noProof/>
                        </w:rPr>
                        <w:drawing>
                          <wp:inline distT="0" distB="0" distL="0" distR="0" wp14:anchorId="5D6D74A2" wp14:editId="3E37A9FE">
                            <wp:extent cx="2057324" cy="2099310"/>
                            <wp:effectExtent l="0" t="0" r="635" b="0"/>
                            <wp:docPr id="4" name="Grafik 4"/>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0">
                                      <a:extLst>
                                        <a:ext uri="{28A0092B-C50C-407E-A947-70E740481C1C}">
                                          <a14:useLocalDpi xmlns:a14="http://schemas.microsoft.com/office/drawing/2010/main" val="0"/>
                                        </a:ext>
                                      </a:extLst>
                                    </a:blip>
                                    <a:stretch>
                                      <a:fillRect/>
                                    </a:stretch>
                                  </pic:blipFill>
                                  <pic:spPr>
                                    <a:xfrm>
                                      <a:off x="0" y="0"/>
                                      <a:ext cx="2057324" cy="2099310"/>
                                    </a:xfrm>
                                    <a:prstGeom prst="rect">
                                      <a:avLst/>
                                    </a:prstGeom>
                                  </pic:spPr>
                                </pic:pic>
                              </a:graphicData>
                            </a:graphic>
                          </wp:inline>
                        </w:drawing>
                      </w:r>
                      <w:r w:rsidR="00E41BA6">
                        <w:rPr>
                          <w:noProof/>
                        </w:rPr>
                        <w:t xml:space="preserve">    </w:t>
                      </w:r>
                      <w:r>
                        <w:rPr>
                          <w:noProof/>
                        </w:rPr>
                        <w:drawing>
                          <wp:inline distT="0" distB="0" distL="0" distR="0" wp14:anchorId="7E2B9F89" wp14:editId="55A588DC">
                            <wp:extent cx="2066925" cy="1767205"/>
                            <wp:effectExtent l="0" t="0" r="9525" b="4445"/>
                            <wp:docPr id="9" name="Grafik 9"/>
                            <wp:cNvGraphicFramePr/>
                            <a:graphic xmlns:a="http://schemas.openxmlformats.org/drawingml/2006/main">
                              <a:graphicData uri="http://schemas.openxmlformats.org/drawingml/2006/picture">
                                <pic:pic xmlns:pic="http://schemas.openxmlformats.org/drawingml/2006/picture">
                                  <pic:nvPicPr>
                                    <pic:cNvPr id="9" name="Grafik 9"/>
                                    <pic:cNvPicPr/>
                                  </pic:nvPicPr>
                                  <pic:blipFill rotWithShape="1">
                                    <a:blip r:embed="rId11">
                                      <a:extLst>
                                        <a:ext uri="{28A0092B-C50C-407E-A947-70E740481C1C}">
                                          <a14:useLocalDpi xmlns:a14="http://schemas.microsoft.com/office/drawing/2010/main" val="0"/>
                                        </a:ext>
                                      </a:extLst>
                                    </a:blip>
                                    <a:srcRect l="15493" r="22118"/>
                                    <a:stretch/>
                                  </pic:blipFill>
                                  <pic:spPr bwMode="auto">
                                    <a:xfrm>
                                      <a:off x="0" y="0"/>
                                      <a:ext cx="2066925" cy="1767205"/>
                                    </a:xfrm>
                                    <a:prstGeom prst="rect">
                                      <a:avLst/>
                                    </a:prstGeom>
                                    <a:ln>
                                      <a:noFill/>
                                    </a:ln>
                                    <a:extLst>
                                      <a:ext uri="{53640926-AAD7-44D8-BBD7-CCE9431645EC}">
                                        <a14:shadowObscured xmlns:a14="http://schemas.microsoft.com/office/drawing/2010/main"/>
                                      </a:ext>
                                    </a:extLst>
                                  </pic:spPr>
                                </pic:pic>
                              </a:graphicData>
                            </a:graphic>
                          </wp:inline>
                        </w:drawing>
                      </w:r>
                    </w:p>
                    <w:p w:rsidR="004B2718" w:rsidRDefault="004B2718"/>
                  </w:txbxContent>
                </v:textbox>
                <w10:wrap type="square"/>
              </v:shape>
            </w:pict>
          </mc:Fallback>
        </mc:AlternateContent>
      </w:r>
      <w:r w:rsidR="00E41BA6" w:rsidRPr="00E41BA6">
        <w:rPr>
          <w:rFonts w:ascii="Arial" w:hAnsi="Arial" w:cs="Arial"/>
          <w:sz w:val="20"/>
          <w:szCs w:val="20"/>
        </w:rPr>
        <w:t xml:space="preserve">Das vom Bundesministerium für Verkehr und digitale Infrastruktur (BMVI) im Rahmen des Programms „Innovative Hafentechnologien (IHATEC)“ geförderte Forschungsprojekt </w:t>
      </w:r>
      <w:proofErr w:type="spellStart"/>
      <w:r w:rsidR="00E41BA6" w:rsidRPr="00E41BA6">
        <w:rPr>
          <w:rFonts w:ascii="Arial" w:hAnsi="Arial" w:cs="Arial"/>
          <w:sz w:val="20"/>
          <w:szCs w:val="20"/>
        </w:rPr>
        <w:t>SecProPort</w:t>
      </w:r>
      <w:proofErr w:type="spellEnd"/>
      <w:r w:rsidR="00E41BA6" w:rsidRPr="00E41BA6">
        <w:rPr>
          <w:rFonts w:ascii="Arial" w:hAnsi="Arial" w:cs="Arial"/>
          <w:sz w:val="20"/>
          <w:szCs w:val="20"/>
        </w:rPr>
        <w:t xml:space="preserve"> ist abgeschlossen. Die Konsortialpartner sind mehr als zufrieden. "Mit den Ergebnissen aus </w:t>
      </w:r>
      <w:proofErr w:type="spellStart"/>
      <w:r w:rsidR="00E41BA6" w:rsidRPr="00E41BA6">
        <w:rPr>
          <w:rFonts w:ascii="Arial" w:hAnsi="Arial" w:cs="Arial"/>
          <w:sz w:val="20"/>
          <w:szCs w:val="20"/>
        </w:rPr>
        <w:t>SecProPort</w:t>
      </w:r>
      <w:proofErr w:type="spellEnd"/>
      <w:r w:rsidR="00E41BA6" w:rsidRPr="00E41BA6">
        <w:rPr>
          <w:rFonts w:ascii="Arial" w:hAnsi="Arial" w:cs="Arial"/>
          <w:sz w:val="20"/>
          <w:szCs w:val="20"/>
        </w:rPr>
        <w:t xml:space="preserve"> haben wir für die komplexen Kommunikationsstrukturen in Häfen eine moderne Sicherheitsarchitektur geschaffen, die sich in bestehende Prozesse integrieren lässt" fasst Projektkoordinatorin Karin Steffen-Witt, dbh Logistics IT AG</w:t>
      </w:r>
      <w:r w:rsidR="00F75916">
        <w:rPr>
          <w:rFonts w:ascii="Arial" w:hAnsi="Arial" w:cs="Arial"/>
          <w:sz w:val="20"/>
          <w:szCs w:val="20"/>
        </w:rPr>
        <w:t>,</w:t>
      </w:r>
      <w:r w:rsidR="00E41BA6" w:rsidRPr="00E41BA6">
        <w:rPr>
          <w:rFonts w:ascii="Arial" w:hAnsi="Arial" w:cs="Arial"/>
          <w:sz w:val="20"/>
          <w:szCs w:val="20"/>
        </w:rPr>
        <w:t xml:space="preserve"> zusammen. "Sie sichert den Hafenkommunikationsverbund in seiner Gesamtheit zuverlässig gegen gezielte Angriffe und fahrlässiges menschliches Fehlverhalten ab."</w:t>
      </w:r>
    </w:p>
    <w:p w:rsidR="00E41BA6" w:rsidRPr="00E41BA6" w:rsidRDefault="00E41BA6" w:rsidP="00E41BA6">
      <w:pPr>
        <w:rPr>
          <w:rFonts w:ascii="Arial" w:hAnsi="Arial" w:cs="Arial"/>
          <w:sz w:val="20"/>
          <w:szCs w:val="20"/>
        </w:rPr>
      </w:pPr>
    </w:p>
    <w:p w:rsidR="00E41BA6" w:rsidRPr="00E41BA6" w:rsidRDefault="00E41BA6" w:rsidP="00E41BA6">
      <w:pPr>
        <w:spacing w:after="160" w:line="259" w:lineRule="auto"/>
        <w:rPr>
          <w:rFonts w:ascii="Arial" w:hAnsi="Arial" w:cs="Arial"/>
          <w:b/>
          <w:color w:val="000000"/>
          <w:sz w:val="20"/>
        </w:rPr>
      </w:pPr>
      <w:r w:rsidRPr="00E41BA6">
        <w:rPr>
          <w:rFonts w:ascii="Arial" w:hAnsi="Arial" w:cs="Arial"/>
          <w:b/>
          <w:color w:val="000000"/>
          <w:sz w:val="20"/>
        </w:rPr>
        <w:t>Umfangreiche Analysen als Grundlage für die praktische Umsetzung</w:t>
      </w:r>
    </w:p>
    <w:p w:rsidR="00E41BA6" w:rsidRPr="00E41BA6" w:rsidRDefault="00E41BA6" w:rsidP="00E41BA6">
      <w:pPr>
        <w:rPr>
          <w:rFonts w:ascii="Arial" w:hAnsi="Arial" w:cs="Arial"/>
          <w:sz w:val="20"/>
          <w:szCs w:val="20"/>
        </w:rPr>
      </w:pPr>
      <w:r w:rsidRPr="00E41BA6">
        <w:rPr>
          <w:rFonts w:ascii="Arial" w:hAnsi="Arial" w:cs="Arial"/>
          <w:sz w:val="20"/>
          <w:szCs w:val="20"/>
        </w:rPr>
        <w:t xml:space="preserve">Die Funktion moderner See- und Binnenhäfen basiert auf elektronisch verfügbaren Informationen, welche die physischen Waren begleiten oder diesen vorauseilen. Alle am Hafentransport beteiligten Akteure (wie z. B. Terminalbetreiber, Reeder, Spediteure, Betreiber von Port-Community-Systemen, Bahn, Hafenbehörden und Zoll) sind hierzu in einem komplexen Hafenkommunikationsverbund miteinander vernetzt und tauschen untereinander Informationen aus. Die Hafenprozesse sind davon abhängig, dass dieser gesamte IT-Kommunikationsverbund reibungslos funktioniert. Selbst, wenn die einzelnen Systeme der Hafenakteure nach dem Stand der Technik abgesichert sind, bedeutet das nicht automatisch, dass der gesamte Hafenkommunikationsverbund im Zusammenspiel sicher ist. Ein Ausfall oder eine Manipulation von Nachrichten an einer Stelle kann zu erheblichen betriebs- und volkswirtschaftlichen Schäden in der Gesamtkette führen. Genau hier setzt </w:t>
      </w:r>
      <w:proofErr w:type="spellStart"/>
      <w:r w:rsidRPr="00E41BA6">
        <w:rPr>
          <w:rFonts w:ascii="Arial" w:hAnsi="Arial" w:cs="Arial"/>
          <w:sz w:val="20"/>
          <w:szCs w:val="20"/>
        </w:rPr>
        <w:t>SecProPort</w:t>
      </w:r>
      <w:proofErr w:type="spellEnd"/>
      <w:r w:rsidRPr="00E41BA6">
        <w:rPr>
          <w:rFonts w:ascii="Arial" w:hAnsi="Arial" w:cs="Arial"/>
          <w:sz w:val="20"/>
          <w:szCs w:val="20"/>
        </w:rPr>
        <w:t xml:space="preserve"> an: Die beteiligten Partner aus Forschung und Wirtschaft haben ein global abgestimmtes Sicherheitskonzept entwickelt, so dass der Kommunikationsaustausch in einem gesamthaft gesicherten und geschützten Umfeld ablaufen kann. </w:t>
      </w:r>
    </w:p>
    <w:p w:rsidR="00E41BA6" w:rsidRPr="00E41BA6" w:rsidRDefault="00E41BA6" w:rsidP="00E41BA6">
      <w:pPr>
        <w:rPr>
          <w:rFonts w:ascii="Arial" w:hAnsi="Arial" w:cs="Arial"/>
          <w:sz w:val="20"/>
          <w:szCs w:val="20"/>
        </w:rPr>
      </w:pPr>
    </w:p>
    <w:p w:rsidR="00E41BA6" w:rsidRPr="00E41BA6" w:rsidRDefault="00E41BA6" w:rsidP="00E41BA6">
      <w:pPr>
        <w:rPr>
          <w:rFonts w:ascii="Arial" w:hAnsi="Arial" w:cs="Arial"/>
          <w:sz w:val="20"/>
          <w:szCs w:val="20"/>
        </w:rPr>
      </w:pPr>
      <w:r w:rsidRPr="00E41BA6">
        <w:rPr>
          <w:rFonts w:ascii="Arial" w:hAnsi="Arial" w:cs="Arial"/>
          <w:sz w:val="20"/>
          <w:szCs w:val="20"/>
        </w:rPr>
        <w:t xml:space="preserve">Hierzu wurde zunächst eine detaillierte Prozessanalyse der vier das Projekt begleitenden Szenarien (Gefahrgutanmeldung über das National Single </w:t>
      </w:r>
      <w:proofErr w:type="spellStart"/>
      <w:r w:rsidRPr="00E41BA6">
        <w:rPr>
          <w:rFonts w:ascii="Arial" w:hAnsi="Arial" w:cs="Arial"/>
          <w:sz w:val="20"/>
          <w:szCs w:val="20"/>
        </w:rPr>
        <w:t>Window</w:t>
      </w:r>
      <w:proofErr w:type="spellEnd"/>
      <w:r w:rsidRPr="00E41BA6">
        <w:rPr>
          <w:rFonts w:ascii="Arial" w:hAnsi="Arial" w:cs="Arial"/>
          <w:sz w:val="20"/>
          <w:szCs w:val="20"/>
        </w:rPr>
        <w:t>, Container Logistik, XXL-Logistik, die den Transport und die Verschiffung von großen Gütern wie Windturbinen- oder Flugzeugteilen umfasst</w:t>
      </w:r>
      <w:r w:rsidR="00B5632C">
        <w:rPr>
          <w:rFonts w:ascii="Arial" w:hAnsi="Arial" w:cs="Arial"/>
          <w:sz w:val="20"/>
          <w:szCs w:val="20"/>
        </w:rPr>
        <w:t>,</w:t>
      </w:r>
      <w:r w:rsidRPr="00E41BA6">
        <w:rPr>
          <w:rFonts w:ascii="Arial" w:hAnsi="Arial" w:cs="Arial"/>
          <w:sz w:val="20"/>
          <w:szCs w:val="20"/>
        </w:rPr>
        <w:t xml:space="preserve"> und Binnenhafenterminal) durchgeführt. Federführend geschah dies durch Susanne Ficke, verantwortliche Projektleiterin beim ISL Institut für Seeverkehrswirtschaft und Logistik - Bremen/Bremerhaven und ihrem Team: "Es wurden systematisch die komplexen Hafenprozesse, Kommunikationsstrukturen und die jeweiligen Sicherheitsanforderungen bei den beteiligten Akteuren analysiert bevor Risikobewertungen und Maßnahmen zur Risikobehandlung am Beispiel des Seehafens Bremerhav</w:t>
      </w:r>
      <w:r w:rsidR="00F75916">
        <w:rPr>
          <w:rFonts w:ascii="Arial" w:hAnsi="Arial" w:cs="Arial"/>
          <w:sz w:val="20"/>
          <w:szCs w:val="20"/>
        </w:rPr>
        <w:t>en erarbeitet werden konnten."</w:t>
      </w:r>
      <w:bookmarkStart w:id="0" w:name="_GoBack"/>
      <w:bookmarkEnd w:id="0"/>
    </w:p>
    <w:p w:rsidR="00E41BA6" w:rsidRPr="00E41BA6" w:rsidRDefault="00E41BA6" w:rsidP="00E41BA6">
      <w:pPr>
        <w:rPr>
          <w:rFonts w:ascii="Arial" w:hAnsi="Arial" w:cs="Arial"/>
          <w:sz w:val="20"/>
          <w:szCs w:val="20"/>
        </w:rPr>
      </w:pPr>
    </w:p>
    <w:p w:rsidR="00E41BA6" w:rsidRPr="00E41BA6" w:rsidRDefault="00E41BA6" w:rsidP="00E41BA6">
      <w:pPr>
        <w:rPr>
          <w:rFonts w:ascii="Arial" w:hAnsi="Arial" w:cs="Arial"/>
          <w:sz w:val="20"/>
          <w:szCs w:val="20"/>
        </w:rPr>
      </w:pPr>
      <w:r w:rsidRPr="00E41BA6">
        <w:rPr>
          <w:rFonts w:ascii="Arial" w:hAnsi="Arial" w:cs="Arial"/>
          <w:sz w:val="20"/>
          <w:szCs w:val="20"/>
        </w:rPr>
        <w:t xml:space="preserve">"Jeder Akteur betreibt in der Regel seine eigenen, mitunter langjährig etablierten Anwendungen, die mit IT-Systemen anderer Partner über dedizierte Schnittstellen verbunden sind. Für die praktische Umsetzbarkeit einer zentralen Sicherheitsarchitektur war es uns wichtig, diese vorhandenen Strukturen zu berücksichtigen.", erläutert Michael Schröder, Projektmanager beim Projektpartner Hapag Lloyd den </w:t>
      </w:r>
      <w:proofErr w:type="spellStart"/>
      <w:r w:rsidRPr="00E41BA6">
        <w:rPr>
          <w:rFonts w:ascii="Arial" w:hAnsi="Arial" w:cs="Arial"/>
          <w:sz w:val="20"/>
          <w:szCs w:val="20"/>
        </w:rPr>
        <w:t>SecProPort</w:t>
      </w:r>
      <w:proofErr w:type="spellEnd"/>
      <w:r w:rsidRPr="00E41BA6">
        <w:rPr>
          <w:rFonts w:ascii="Arial" w:hAnsi="Arial" w:cs="Arial"/>
          <w:sz w:val="20"/>
          <w:szCs w:val="20"/>
        </w:rPr>
        <w:t xml:space="preserve"> Ansatz. Um den Datentransfer zwischen den logistischen Akteuren abzusichern, setzt </w:t>
      </w:r>
      <w:proofErr w:type="spellStart"/>
      <w:r w:rsidRPr="00E41BA6">
        <w:rPr>
          <w:rFonts w:ascii="Arial" w:hAnsi="Arial" w:cs="Arial"/>
          <w:sz w:val="20"/>
          <w:szCs w:val="20"/>
        </w:rPr>
        <w:t>SecProPort</w:t>
      </w:r>
      <w:proofErr w:type="spellEnd"/>
      <w:r w:rsidRPr="00E41BA6">
        <w:rPr>
          <w:rFonts w:ascii="Arial" w:hAnsi="Arial" w:cs="Arial"/>
          <w:sz w:val="20"/>
          <w:szCs w:val="20"/>
        </w:rPr>
        <w:t xml:space="preserve"> daher auf einen einheitlichen Message </w:t>
      </w:r>
      <w:proofErr w:type="spellStart"/>
      <w:r w:rsidRPr="00E41BA6">
        <w:rPr>
          <w:rFonts w:ascii="Arial" w:hAnsi="Arial" w:cs="Arial"/>
          <w:sz w:val="20"/>
          <w:szCs w:val="20"/>
        </w:rPr>
        <w:t>Adaptor</w:t>
      </w:r>
      <w:proofErr w:type="spellEnd"/>
      <w:r w:rsidRPr="00E41BA6">
        <w:rPr>
          <w:rFonts w:ascii="Arial" w:hAnsi="Arial" w:cs="Arial"/>
          <w:sz w:val="20"/>
          <w:szCs w:val="20"/>
        </w:rPr>
        <w:t>, der die Systeme der einzelnen Beteiligten effizient ergänzt und sicher miteinander verknüpft.</w:t>
      </w:r>
    </w:p>
    <w:p w:rsidR="00E41BA6" w:rsidRPr="00E41BA6" w:rsidRDefault="00E41BA6" w:rsidP="00E41BA6">
      <w:pPr>
        <w:rPr>
          <w:rFonts w:ascii="Arial" w:hAnsi="Arial" w:cs="Arial"/>
          <w:sz w:val="20"/>
          <w:szCs w:val="20"/>
        </w:rPr>
      </w:pPr>
    </w:p>
    <w:p w:rsidR="00E41BA6" w:rsidRPr="00E41BA6" w:rsidRDefault="00E41BA6" w:rsidP="00E41BA6">
      <w:pPr>
        <w:spacing w:after="160" w:line="259" w:lineRule="auto"/>
        <w:rPr>
          <w:rFonts w:ascii="Arial" w:hAnsi="Arial" w:cs="Arial"/>
          <w:b/>
          <w:color w:val="000000"/>
          <w:sz w:val="20"/>
        </w:rPr>
      </w:pPr>
      <w:r w:rsidRPr="00E41BA6">
        <w:rPr>
          <w:rFonts w:ascii="Arial" w:hAnsi="Arial" w:cs="Arial"/>
          <w:b/>
          <w:color w:val="000000"/>
          <w:sz w:val="20"/>
        </w:rPr>
        <w:t>Integrität und Vertraulichkeit von Daten im Fokus</w:t>
      </w:r>
    </w:p>
    <w:p w:rsidR="00E41BA6" w:rsidRPr="00E41BA6" w:rsidRDefault="00E41BA6" w:rsidP="00E41BA6">
      <w:pPr>
        <w:rPr>
          <w:rFonts w:ascii="Arial" w:hAnsi="Arial" w:cs="Arial"/>
          <w:sz w:val="20"/>
          <w:szCs w:val="20"/>
        </w:rPr>
      </w:pPr>
      <w:r w:rsidRPr="00E41BA6">
        <w:rPr>
          <w:rFonts w:ascii="Arial" w:hAnsi="Arial" w:cs="Arial"/>
          <w:sz w:val="20"/>
          <w:szCs w:val="20"/>
        </w:rPr>
        <w:t xml:space="preserve">Um die Zurechenbarkeit und Manipulationsfreiheit von Daten zu gewährleisten, müssen in der </w:t>
      </w:r>
      <w:proofErr w:type="spellStart"/>
      <w:r w:rsidRPr="00E41BA6">
        <w:rPr>
          <w:rFonts w:ascii="Arial" w:hAnsi="Arial" w:cs="Arial"/>
          <w:sz w:val="20"/>
          <w:szCs w:val="20"/>
        </w:rPr>
        <w:t>SecProPort</w:t>
      </w:r>
      <w:proofErr w:type="spellEnd"/>
      <w:r w:rsidRPr="00E41BA6">
        <w:rPr>
          <w:rFonts w:ascii="Arial" w:hAnsi="Arial" w:cs="Arial"/>
          <w:sz w:val="20"/>
          <w:szCs w:val="20"/>
        </w:rPr>
        <w:t xml:space="preserve"> Sicherheitsarchitektur kryptographische Verfahren angewendet werden. Dazu setzt der </w:t>
      </w:r>
      <w:proofErr w:type="spellStart"/>
      <w:r w:rsidRPr="00E41BA6">
        <w:rPr>
          <w:rFonts w:ascii="Arial" w:hAnsi="Arial" w:cs="Arial"/>
          <w:sz w:val="20"/>
          <w:szCs w:val="20"/>
        </w:rPr>
        <w:t>SecProPort</w:t>
      </w:r>
      <w:proofErr w:type="spellEnd"/>
      <w:r w:rsidRPr="00E41BA6">
        <w:rPr>
          <w:rFonts w:ascii="Arial" w:hAnsi="Arial" w:cs="Arial"/>
          <w:sz w:val="20"/>
          <w:szCs w:val="20"/>
        </w:rPr>
        <w:t xml:space="preserve"> Message </w:t>
      </w:r>
      <w:proofErr w:type="spellStart"/>
      <w:r w:rsidRPr="00E41BA6">
        <w:rPr>
          <w:rFonts w:ascii="Arial" w:hAnsi="Arial" w:cs="Arial"/>
          <w:sz w:val="20"/>
          <w:szCs w:val="20"/>
        </w:rPr>
        <w:t>Adaptor</w:t>
      </w:r>
      <w:proofErr w:type="spellEnd"/>
      <w:r w:rsidRPr="00E41BA6">
        <w:rPr>
          <w:rFonts w:ascii="Arial" w:hAnsi="Arial" w:cs="Arial"/>
          <w:sz w:val="20"/>
          <w:szCs w:val="20"/>
        </w:rPr>
        <w:t xml:space="preserve"> eine Publik Key Infrastruktur ein. Jeder Akteur erhält von der Zertifizierungsstelle ein eigenes Zertifikat, mit dem ein öffentlicher und privater Schlüssel zur digitalen Signatur, sowie </w:t>
      </w:r>
      <w:proofErr w:type="spellStart"/>
      <w:r w:rsidRPr="00E41BA6">
        <w:rPr>
          <w:rFonts w:ascii="Arial" w:hAnsi="Arial" w:cs="Arial"/>
          <w:sz w:val="20"/>
          <w:szCs w:val="20"/>
        </w:rPr>
        <w:t>Ver</w:t>
      </w:r>
      <w:proofErr w:type="spellEnd"/>
      <w:r w:rsidRPr="00E41BA6">
        <w:rPr>
          <w:rFonts w:ascii="Arial" w:hAnsi="Arial" w:cs="Arial"/>
          <w:sz w:val="20"/>
          <w:szCs w:val="20"/>
        </w:rPr>
        <w:t xml:space="preserve">- und Entschlüsselung von Nachrichten verbunden ist. Das verhindert die Manipulation von Nachrichten und ermöglicht es, die Echtheit des Absenders zu bestätigen. </w:t>
      </w:r>
    </w:p>
    <w:p w:rsidR="00E41BA6" w:rsidRPr="00E41BA6" w:rsidRDefault="00E41BA6" w:rsidP="00E41BA6">
      <w:pPr>
        <w:rPr>
          <w:rFonts w:ascii="Arial" w:hAnsi="Arial" w:cs="Arial"/>
          <w:sz w:val="20"/>
          <w:szCs w:val="20"/>
        </w:rPr>
      </w:pPr>
    </w:p>
    <w:p w:rsidR="00E41BA6" w:rsidRPr="00E41BA6" w:rsidRDefault="00E41BA6" w:rsidP="00E41BA6">
      <w:pPr>
        <w:rPr>
          <w:rFonts w:ascii="Arial" w:hAnsi="Arial" w:cs="Arial"/>
          <w:sz w:val="20"/>
          <w:szCs w:val="20"/>
        </w:rPr>
      </w:pPr>
      <w:r w:rsidRPr="00E41BA6">
        <w:rPr>
          <w:rFonts w:ascii="Arial" w:hAnsi="Arial" w:cs="Arial"/>
          <w:sz w:val="20"/>
          <w:szCs w:val="20"/>
        </w:rPr>
        <w:t xml:space="preserve">Der Sicherheitsarchitektur liegt darüber hinaus eine rollenbasierte Zugriffskontrolle (RBAC - </w:t>
      </w:r>
      <w:proofErr w:type="spellStart"/>
      <w:r w:rsidRPr="00E41BA6">
        <w:rPr>
          <w:rFonts w:ascii="Arial" w:hAnsi="Arial" w:cs="Arial"/>
          <w:sz w:val="20"/>
          <w:szCs w:val="20"/>
        </w:rPr>
        <w:t>Role</w:t>
      </w:r>
      <w:proofErr w:type="spellEnd"/>
      <w:r w:rsidRPr="00E41BA6">
        <w:rPr>
          <w:rFonts w:ascii="Arial" w:hAnsi="Arial" w:cs="Arial"/>
          <w:sz w:val="20"/>
          <w:szCs w:val="20"/>
        </w:rPr>
        <w:t xml:space="preserve"> </w:t>
      </w:r>
      <w:proofErr w:type="spellStart"/>
      <w:r w:rsidRPr="00E41BA6">
        <w:rPr>
          <w:rFonts w:ascii="Arial" w:hAnsi="Arial" w:cs="Arial"/>
          <w:sz w:val="20"/>
          <w:szCs w:val="20"/>
        </w:rPr>
        <w:t>Based</w:t>
      </w:r>
      <w:proofErr w:type="spellEnd"/>
      <w:r w:rsidRPr="00E41BA6">
        <w:rPr>
          <w:rFonts w:ascii="Arial" w:hAnsi="Arial" w:cs="Arial"/>
          <w:sz w:val="20"/>
          <w:szCs w:val="20"/>
        </w:rPr>
        <w:t xml:space="preserve"> Access Control) zugrunde. Für jeden Akteur ist detailliert definiert, welche Informationen geschrieben, gelesen oder nicht eingesehen werden dürfen. "In der Kombination mit kryptographischen Verfahren bietet sich damit sogar die Möglichkeit, dass Daten von beteiligten Akteuren zwar weitergegeben, aber erst vom berechtigten Empfänger der Informationen entschlüsselt werden können", erklärt Prof. Dr. Dieter Hutter vom Forschungsbereich Cyber-</w:t>
      </w:r>
      <w:proofErr w:type="spellStart"/>
      <w:r w:rsidRPr="00E41BA6">
        <w:rPr>
          <w:rFonts w:ascii="Arial" w:hAnsi="Arial" w:cs="Arial"/>
          <w:sz w:val="20"/>
          <w:szCs w:val="20"/>
        </w:rPr>
        <w:t>Physical</w:t>
      </w:r>
      <w:proofErr w:type="spellEnd"/>
      <w:r w:rsidRPr="00E41BA6">
        <w:rPr>
          <w:rFonts w:ascii="Arial" w:hAnsi="Arial" w:cs="Arial"/>
          <w:sz w:val="20"/>
          <w:szCs w:val="20"/>
        </w:rPr>
        <w:t xml:space="preserve"> Systems des Deutschen Forschungszentrums für Künstliche Intelligenz (DFKI) die Eigenschaften der entwickelten Sicherheitsarchitektur. </w:t>
      </w:r>
    </w:p>
    <w:p w:rsidR="00E41BA6" w:rsidRPr="00E41BA6" w:rsidRDefault="00E41BA6" w:rsidP="00E41BA6">
      <w:pPr>
        <w:rPr>
          <w:rFonts w:ascii="Arial" w:hAnsi="Arial" w:cs="Arial"/>
          <w:sz w:val="20"/>
          <w:szCs w:val="20"/>
        </w:rPr>
      </w:pPr>
    </w:p>
    <w:p w:rsidR="00E41BA6" w:rsidRPr="00D91671" w:rsidRDefault="00E41BA6" w:rsidP="00D91671">
      <w:pPr>
        <w:spacing w:after="160" w:line="259" w:lineRule="auto"/>
        <w:rPr>
          <w:rFonts w:ascii="Arial" w:hAnsi="Arial" w:cs="Arial"/>
          <w:b/>
          <w:color w:val="000000"/>
          <w:sz w:val="20"/>
        </w:rPr>
      </w:pPr>
      <w:r w:rsidRPr="00D91671">
        <w:rPr>
          <w:rFonts w:ascii="Arial" w:hAnsi="Arial" w:cs="Arial"/>
          <w:b/>
          <w:color w:val="000000"/>
          <w:sz w:val="20"/>
        </w:rPr>
        <w:t>Geschäftskontinuität für den Gesamtverbund auch bei Cybervorfällen gewährleisten</w:t>
      </w:r>
    </w:p>
    <w:p w:rsidR="00E41BA6" w:rsidRPr="00E41BA6" w:rsidRDefault="00E41BA6" w:rsidP="00E41BA6">
      <w:pPr>
        <w:rPr>
          <w:rFonts w:ascii="Arial" w:hAnsi="Arial" w:cs="Arial"/>
          <w:sz w:val="20"/>
          <w:szCs w:val="20"/>
        </w:rPr>
      </w:pPr>
      <w:r w:rsidRPr="00E41BA6">
        <w:rPr>
          <w:rFonts w:ascii="Arial" w:hAnsi="Arial" w:cs="Arial"/>
          <w:sz w:val="20"/>
          <w:szCs w:val="20"/>
        </w:rPr>
        <w:t xml:space="preserve">"Heutzutage sind nicht nur Sicherheitsmechanismen benötigt, um sich vor Cyberbedrohungen zu schützen, sondern auch eine </w:t>
      </w:r>
      <w:proofErr w:type="spellStart"/>
      <w:r w:rsidRPr="00E41BA6">
        <w:rPr>
          <w:rFonts w:ascii="Arial" w:hAnsi="Arial" w:cs="Arial"/>
          <w:sz w:val="20"/>
          <w:szCs w:val="20"/>
        </w:rPr>
        <w:t>Resilienzstrategie</w:t>
      </w:r>
      <w:proofErr w:type="spellEnd"/>
      <w:r w:rsidRPr="00E41BA6">
        <w:rPr>
          <w:rFonts w:ascii="Arial" w:hAnsi="Arial" w:cs="Arial"/>
          <w:sz w:val="20"/>
          <w:szCs w:val="20"/>
        </w:rPr>
        <w:t xml:space="preserve">, um die Geschäftskontinuität auch bei Cybervorfällen zu gewährleisten", erläutert Konsortialpartner Prof. Dr. Thomas Kemmerich (Universität Bremen). Unter Cyber-Resilienz versteht man die Fähigkeit, sich effektiv auf Cyber-Vorfälle vorzubereiten, diese zu verhindern, zu erkennen, darauf zu reagieren und sich davon zu erholen. </w:t>
      </w:r>
    </w:p>
    <w:p w:rsidR="00E41BA6" w:rsidRPr="00E41BA6" w:rsidRDefault="00E41BA6" w:rsidP="00E41BA6">
      <w:pPr>
        <w:rPr>
          <w:rFonts w:ascii="Arial" w:hAnsi="Arial" w:cs="Arial"/>
          <w:sz w:val="20"/>
          <w:szCs w:val="20"/>
        </w:rPr>
      </w:pPr>
      <w:r w:rsidRPr="00E41BA6">
        <w:rPr>
          <w:rFonts w:ascii="Arial" w:hAnsi="Arial" w:cs="Arial"/>
          <w:sz w:val="20"/>
          <w:szCs w:val="20"/>
        </w:rPr>
        <w:t xml:space="preserve">Dementsprechend trägt als weiterer Projektbaustein die Erkennung und konsequente Behandlung von Angriffen zu einer sicheren IT-Infrastruktur im Hafenkommunikationsverbund bei. Das </w:t>
      </w:r>
      <w:proofErr w:type="spellStart"/>
      <w:r w:rsidRPr="00E41BA6">
        <w:rPr>
          <w:rFonts w:ascii="Arial" w:hAnsi="Arial" w:cs="Arial"/>
          <w:sz w:val="20"/>
          <w:szCs w:val="20"/>
        </w:rPr>
        <w:t>SecProPort</w:t>
      </w:r>
      <w:proofErr w:type="spellEnd"/>
      <w:r w:rsidRPr="00E41BA6">
        <w:rPr>
          <w:rFonts w:ascii="Arial" w:hAnsi="Arial" w:cs="Arial"/>
          <w:sz w:val="20"/>
          <w:szCs w:val="20"/>
        </w:rPr>
        <w:t xml:space="preserve"> Netz erfüllt </w:t>
      </w:r>
      <w:proofErr w:type="spellStart"/>
      <w:r w:rsidRPr="00E41BA6">
        <w:rPr>
          <w:rFonts w:ascii="Arial" w:hAnsi="Arial" w:cs="Arial"/>
          <w:sz w:val="20"/>
          <w:szCs w:val="20"/>
        </w:rPr>
        <w:t>Resilienzanforderungen</w:t>
      </w:r>
      <w:proofErr w:type="spellEnd"/>
      <w:r w:rsidRPr="00E41BA6">
        <w:rPr>
          <w:rFonts w:ascii="Arial" w:hAnsi="Arial" w:cs="Arial"/>
          <w:sz w:val="20"/>
          <w:szCs w:val="20"/>
        </w:rPr>
        <w:t xml:space="preserve">, indem es potentiell mit Schadsoftware befallene oder böswillig agierende Akteure erkennt, die entsprechenden Kommunikationswege einschränkt und gegebenenfalls auf zusätzlich definierte Sicherheitsmechanismen zurückgreift. Zielsetzung ist es, Auswirkungen auf andere Akteure zu minimieren und das betroffene System kontrolliert wieder in einen Normalzustand zu überführen. </w:t>
      </w:r>
    </w:p>
    <w:p w:rsidR="00E41BA6" w:rsidRPr="00E41BA6" w:rsidRDefault="00E41BA6" w:rsidP="00E41BA6">
      <w:pPr>
        <w:rPr>
          <w:rFonts w:ascii="Arial" w:hAnsi="Arial" w:cs="Arial"/>
          <w:sz w:val="20"/>
          <w:szCs w:val="20"/>
        </w:rPr>
      </w:pPr>
    </w:p>
    <w:p w:rsidR="00E41BA6" w:rsidRPr="00E41BA6" w:rsidRDefault="00E41BA6" w:rsidP="00E41BA6">
      <w:pPr>
        <w:spacing w:after="160" w:line="259" w:lineRule="auto"/>
        <w:rPr>
          <w:rFonts w:ascii="Arial" w:hAnsi="Arial" w:cs="Arial"/>
          <w:b/>
          <w:color w:val="000000"/>
          <w:sz w:val="20"/>
        </w:rPr>
      </w:pPr>
      <w:r w:rsidRPr="00E41BA6">
        <w:rPr>
          <w:rFonts w:ascii="Arial" w:hAnsi="Arial" w:cs="Arial"/>
          <w:b/>
          <w:color w:val="000000"/>
          <w:sz w:val="20"/>
        </w:rPr>
        <w:t>Eine Blaupause für andere Kommunikationsverbünde</w:t>
      </w:r>
    </w:p>
    <w:p w:rsidR="00E41BA6" w:rsidRPr="00E41BA6" w:rsidRDefault="00E41BA6" w:rsidP="00E41BA6">
      <w:pPr>
        <w:rPr>
          <w:rFonts w:ascii="Arial" w:hAnsi="Arial" w:cs="Arial"/>
          <w:sz w:val="20"/>
          <w:szCs w:val="20"/>
        </w:rPr>
      </w:pPr>
      <w:r w:rsidRPr="00E41BA6">
        <w:rPr>
          <w:rFonts w:ascii="Arial" w:hAnsi="Arial" w:cs="Arial"/>
          <w:sz w:val="20"/>
          <w:szCs w:val="20"/>
        </w:rPr>
        <w:t xml:space="preserve">Im Rahmen des Projektes ist ein Migrationskonzept erstellt worden, das beschreibt, wie die entwickelte Sicherheitsarchitektur nach und nach in einen Produktivbetrieb überführt werden kann. Konzipiert wurde </w:t>
      </w:r>
      <w:proofErr w:type="spellStart"/>
      <w:r w:rsidRPr="00E41BA6">
        <w:rPr>
          <w:rFonts w:ascii="Arial" w:hAnsi="Arial" w:cs="Arial"/>
          <w:sz w:val="20"/>
          <w:szCs w:val="20"/>
        </w:rPr>
        <w:t>SecProPort</w:t>
      </w:r>
      <w:proofErr w:type="spellEnd"/>
      <w:r w:rsidRPr="00E41BA6">
        <w:rPr>
          <w:rFonts w:ascii="Arial" w:hAnsi="Arial" w:cs="Arial"/>
          <w:sz w:val="20"/>
          <w:szCs w:val="20"/>
        </w:rPr>
        <w:t xml:space="preserve"> dabei ausdrücklich so, dass eine Umsetzung nicht nur im Seehafen, sondern auch für Binnenhäfen oder andere Strukturen möglich ist. Es wurde eine branchenspezifische Prüfgrundlage für kritische Infrastrukturen entwickelt, die mit allen relevanten Interessensgruppen abgestimmt werden kann. Diese erfüllt bereits die Anforderungen des IT Sicherheitsgesetzes, der </w:t>
      </w:r>
      <w:r w:rsidRPr="00E41BA6">
        <w:rPr>
          <w:rFonts w:ascii="Arial" w:hAnsi="Arial" w:cs="Arial"/>
          <w:sz w:val="20"/>
          <w:szCs w:val="20"/>
        </w:rPr>
        <w:lastRenderedPageBreak/>
        <w:t xml:space="preserve">DSGVO und der ISO 27001 und kann somit als Vorlage für andere Häfen dienen. Die eingesetzten offenen Datenformate und Plattformtechnologien erleichtern es ebenfalls, die entwickelte Sicherheitsarchitektur für andere Strukturen zu adaptieren. Dennoch stellt Projektkoordinatorin Karin Steffen-Witt heraus: "Sicherheit in einem Kommunikationsverband kann nur gemeinsam erreicht werden. Sicherheitsregeln müssen von allen Akteuren gemeinsam erarbeitet und vereinbart werden. Dafür müssen sich alle Akteure am Prozess beteiligen und allen die Mechanismen und Handlungsanweisungen transparent zugänglich gemacht werden." </w:t>
      </w:r>
    </w:p>
    <w:p w:rsidR="00E41BA6" w:rsidRPr="00E41BA6" w:rsidRDefault="00E41BA6" w:rsidP="00E41BA6">
      <w:pPr>
        <w:rPr>
          <w:rFonts w:ascii="Arial" w:hAnsi="Arial" w:cs="Arial"/>
          <w:sz w:val="20"/>
          <w:szCs w:val="20"/>
        </w:rPr>
      </w:pPr>
    </w:p>
    <w:p w:rsidR="00E41BA6" w:rsidRDefault="00E41BA6" w:rsidP="00E41BA6">
      <w:pPr>
        <w:rPr>
          <w:rFonts w:ascii="Arial" w:hAnsi="Arial" w:cs="Arial"/>
          <w:sz w:val="20"/>
          <w:szCs w:val="20"/>
        </w:rPr>
      </w:pPr>
      <w:r w:rsidRPr="00E41BA6">
        <w:rPr>
          <w:rFonts w:ascii="Arial" w:hAnsi="Arial" w:cs="Arial"/>
          <w:sz w:val="20"/>
          <w:szCs w:val="20"/>
        </w:rPr>
        <w:t xml:space="preserve">Weitere Informationen, sowie ein Video über das Projekt finden Interessierte auf der Projektwebseite </w:t>
      </w:r>
      <w:hyperlink r:id="rId12" w:history="1">
        <w:r w:rsidRPr="00E41BA6">
          <w:rPr>
            <w:rFonts w:ascii="Arial" w:hAnsi="Arial" w:cs="Arial"/>
            <w:sz w:val="20"/>
            <w:szCs w:val="20"/>
          </w:rPr>
          <w:t>www.secproport.de</w:t>
        </w:r>
      </w:hyperlink>
      <w:r w:rsidRPr="00E41BA6">
        <w:rPr>
          <w:rFonts w:ascii="Arial" w:hAnsi="Arial" w:cs="Arial"/>
          <w:sz w:val="20"/>
          <w:szCs w:val="20"/>
        </w:rPr>
        <w:t xml:space="preserve"> </w:t>
      </w:r>
    </w:p>
    <w:p w:rsidR="00E41BA6" w:rsidRDefault="00E41BA6" w:rsidP="00E41BA6">
      <w:pPr>
        <w:rPr>
          <w:rFonts w:ascii="Arial" w:hAnsi="Arial" w:cs="Arial"/>
          <w:sz w:val="20"/>
          <w:szCs w:val="20"/>
        </w:rPr>
      </w:pPr>
    </w:p>
    <w:p w:rsidR="00E41BA6" w:rsidRPr="00E41BA6" w:rsidRDefault="00E41BA6" w:rsidP="00E41BA6">
      <w:pPr>
        <w:rPr>
          <w:rFonts w:ascii="Arial" w:hAnsi="Arial" w:cs="Arial"/>
          <w:sz w:val="20"/>
          <w:szCs w:val="20"/>
        </w:rPr>
      </w:pPr>
    </w:p>
    <w:p w:rsidR="00AE2A4C" w:rsidRDefault="00AE2A4C">
      <w:pPr>
        <w:spacing w:after="160" w:line="259" w:lineRule="auto"/>
        <w:rPr>
          <w:rFonts w:ascii="Arial" w:hAnsi="Arial" w:cs="Arial"/>
          <w:b/>
          <w:color w:val="000000"/>
          <w:sz w:val="20"/>
        </w:rPr>
      </w:pPr>
      <w:r>
        <w:rPr>
          <w:rFonts w:ascii="Arial" w:hAnsi="Arial" w:cs="Arial"/>
          <w:b/>
          <w:color w:val="000000"/>
          <w:sz w:val="20"/>
        </w:rPr>
        <w:t xml:space="preserve">Über das Projekt </w:t>
      </w:r>
      <w:proofErr w:type="spellStart"/>
      <w:r w:rsidR="00E41BA6">
        <w:rPr>
          <w:rFonts w:ascii="Arial" w:hAnsi="Arial" w:cs="Arial"/>
          <w:b/>
          <w:color w:val="000000"/>
          <w:sz w:val="20"/>
        </w:rPr>
        <w:t>SecProPort</w:t>
      </w:r>
      <w:proofErr w:type="spellEnd"/>
    </w:p>
    <w:p w:rsidR="00C606DB" w:rsidRDefault="00C606DB" w:rsidP="006C3B89">
      <w:pPr>
        <w:rPr>
          <w:rFonts w:ascii="Arial" w:hAnsi="Arial" w:cs="Arial"/>
          <w:sz w:val="20"/>
          <w:szCs w:val="20"/>
        </w:rPr>
      </w:pPr>
      <w:r w:rsidRPr="00C606DB">
        <w:rPr>
          <w:rFonts w:ascii="Arial" w:hAnsi="Arial" w:cs="Arial"/>
          <w:sz w:val="20"/>
          <w:szCs w:val="20"/>
        </w:rPr>
        <w:t>Für ein außenhandelsorientiertes Land wie Deutschland ist die Funktion moderner See</w:t>
      </w:r>
      <w:r>
        <w:rPr>
          <w:rFonts w:ascii="Arial" w:hAnsi="Arial" w:cs="Arial"/>
          <w:sz w:val="20"/>
          <w:szCs w:val="20"/>
        </w:rPr>
        <w:t xml:space="preserve">- </w:t>
      </w:r>
      <w:r w:rsidRPr="00C606DB">
        <w:rPr>
          <w:rFonts w:ascii="Arial" w:hAnsi="Arial" w:cs="Arial"/>
          <w:sz w:val="20"/>
          <w:szCs w:val="20"/>
        </w:rPr>
        <w:t>und Binnenhäfen von existenzieller Bedeutung. Diese basiert zunehmend auf elektronisch verfügbaren Informationen, welche die physischen Warenketten begleiten. Alle am Hafentransport beteiligten Akteure (wie z.B. Terminalbetreiber, Reeder, Spediteure, Betreiber von Hafen-IT, Bahn, Hafenbehörden und Zoll) sind in einem komplexen Hafenkommunikationsverbund (HKV) miteinander vernetzt und tauschen Informationen untereinander aus. Ein Ausfall der Kommunikation kann zu erheblichen betriebs- und volkswirtschaftlichen Schäden führen. Diese Kommunikation wird heute massi</w:t>
      </w:r>
      <w:r>
        <w:rPr>
          <w:rFonts w:ascii="Arial" w:hAnsi="Arial" w:cs="Arial"/>
          <w:sz w:val="20"/>
          <w:szCs w:val="20"/>
        </w:rPr>
        <w:t xml:space="preserve">v durch Cyberangriffe bedroht. </w:t>
      </w:r>
      <w:r w:rsidRPr="00C606DB">
        <w:rPr>
          <w:rFonts w:ascii="Arial" w:hAnsi="Arial" w:cs="Arial"/>
          <w:sz w:val="20"/>
          <w:szCs w:val="20"/>
        </w:rPr>
        <w:t xml:space="preserve">Ziel des Vorhabens ist es, eine Sicherheitsarchitektur für den HKV auf Basis einer Prozess- und Bedrohungsanalyse zu entwickeln. Diese Sicherheitsarchitektur soll </w:t>
      </w:r>
      <w:proofErr w:type="spellStart"/>
      <w:r w:rsidRPr="00C606DB">
        <w:rPr>
          <w:rFonts w:ascii="Arial" w:hAnsi="Arial" w:cs="Arial"/>
          <w:sz w:val="20"/>
          <w:szCs w:val="20"/>
        </w:rPr>
        <w:t>Resilienzanforderungen</w:t>
      </w:r>
      <w:proofErr w:type="spellEnd"/>
      <w:r w:rsidRPr="00C606DB">
        <w:rPr>
          <w:rFonts w:ascii="Arial" w:hAnsi="Arial" w:cs="Arial"/>
          <w:sz w:val="20"/>
          <w:szCs w:val="20"/>
        </w:rPr>
        <w:t xml:space="preserve"> erfüllen, so dass das Gesamtsystem auch im Falle eines Angriffs weiterarbeitet. Aus der Sicherheitsarchitektur werden Sicherheitsanforderungen für die Anwendungen der einzelnen Hafenakteure abgeleitet und Migrationspläne entwickelt. Bei einzelnen Anwendungspartnern wird dann die Sicherheitsarchitektur beispielhaft umgesetzt, um ihre praktische Relevanz nachzuweisen. Die Projektergebnisse werden zudem in einen branchenspezifischen Standard für die Informationssicherheit im Bereich Hafen einfließen. </w:t>
      </w:r>
    </w:p>
    <w:p w:rsidR="00C606DB" w:rsidRDefault="00C606DB" w:rsidP="006C3B89">
      <w:pPr>
        <w:rPr>
          <w:rFonts w:ascii="Arial" w:hAnsi="Arial" w:cs="Arial"/>
          <w:sz w:val="20"/>
          <w:szCs w:val="20"/>
        </w:rPr>
      </w:pPr>
    </w:p>
    <w:p w:rsidR="00C606DB" w:rsidRPr="00C606DB" w:rsidRDefault="00C606DB" w:rsidP="00C606DB">
      <w:pPr>
        <w:pStyle w:val="Default"/>
        <w:spacing w:after="60"/>
        <w:rPr>
          <w:rFonts w:ascii="Arial" w:hAnsi="Arial" w:cs="Arial"/>
          <w:sz w:val="20"/>
          <w:szCs w:val="22"/>
          <w:u w:val="single"/>
        </w:rPr>
      </w:pPr>
      <w:r>
        <w:rPr>
          <w:rFonts w:ascii="Arial" w:hAnsi="Arial" w:cs="Arial"/>
          <w:sz w:val="20"/>
          <w:szCs w:val="22"/>
          <w:u w:val="single"/>
        </w:rPr>
        <w:t>Projektvolumen / -laufzeit</w:t>
      </w:r>
    </w:p>
    <w:p w:rsidR="00C606DB" w:rsidRDefault="00C606DB" w:rsidP="00C606DB">
      <w:pPr>
        <w:rPr>
          <w:rFonts w:ascii="Arial" w:hAnsi="Arial" w:cs="Arial"/>
          <w:sz w:val="20"/>
          <w:szCs w:val="20"/>
        </w:rPr>
      </w:pPr>
      <w:r w:rsidRPr="00C606DB">
        <w:rPr>
          <w:rFonts w:ascii="Arial" w:hAnsi="Arial" w:cs="Arial"/>
          <w:sz w:val="20"/>
          <w:szCs w:val="20"/>
        </w:rPr>
        <w:t>3.527.228,69 €</w:t>
      </w:r>
      <w:r>
        <w:rPr>
          <w:rFonts w:ascii="Arial" w:hAnsi="Arial" w:cs="Arial"/>
          <w:sz w:val="20"/>
          <w:szCs w:val="20"/>
        </w:rPr>
        <w:t xml:space="preserve"> </w:t>
      </w:r>
      <w:r w:rsidRPr="00C606DB">
        <w:rPr>
          <w:rFonts w:ascii="Arial" w:hAnsi="Arial" w:cs="Arial"/>
          <w:sz w:val="20"/>
          <w:szCs w:val="20"/>
        </w:rPr>
        <w:t>(davon 75% Förderanteil durch BMVI)</w:t>
      </w:r>
      <w:r>
        <w:rPr>
          <w:rFonts w:ascii="Arial" w:hAnsi="Arial" w:cs="Arial"/>
          <w:sz w:val="20"/>
          <w:szCs w:val="20"/>
        </w:rPr>
        <w:t xml:space="preserve"> / 11/2018 – 12</w:t>
      </w:r>
      <w:r w:rsidRPr="00C606DB">
        <w:rPr>
          <w:rFonts w:ascii="Arial" w:hAnsi="Arial" w:cs="Arial"/>
          <w:sz w:val="20"/>
          <w:szCs w:val="20"/>
        </w:rPr>
        <w:t>/2021</w:t>
      </w:r>
    </w:p>
    <w:p w:rsidR="00C606DB" w:rsidRPr="006B7563" w:rsidRDefault="00C606DB" w:rsidP="006C3B89">
      <w:pPr>
        <w:rPr>
          <w:rFonts w:ascii="Arial" w:hAnsi="Arial" w:cs="Arial"/>
          <w:sz w:val="20"/>
          <w:szCs w:val="20"/>
        </w:rPr>
      </w:pPr>
    </w:p>
    <w:p w:rsidR="00E72761" w:rsidRPr="00441E0F" w:rsidRDefault="00C606DB" w:rsidP="00B83D9A">
      <w:pPr>
        <w:pStyle w:val="Default"/>
        <w:spacing w:after="60"/>
        <w:rPr>
          <w:rFonts w:ascii="Arial" w:hAnsi="Arial" w:cs="Arial"/>
          <w:sz w:val="20"/>
          <w:szCs w:val="22"/>
          <w:u w:val="single"/>
          <w:lang w:val="en-US"/>
        </w:rPr>
      </w:pPr>
      <w:proofErr w:type="spellStart"/>
      <w:r w:rsidRPr="00441E0F">
        <w:rPr>
          <w:rFonts w:ascii="Arial" w:hAnsi="Arial" w:cs="Arial"/>
          <w:sz w:val="20"/>
          <w:szCs w:val="22"/>
          <w:u w:val="single"/>
          <w:lang w:val="en-US"/>
        </w:rPr>
        <w:t>Projektpartner</w:t>
      </w:r>
      <w:proofErr w:type="spellEnd"/>
    </w:p>
    <w:p w:rsidR="00C606DB" w:rsidRPr="00C606DB" w:rsidRDefault="00C606DB" w:rsidP="00C606DB">
      <w:pPr>
        <w:rPr>
          <w:rFonts w:ascii="Arial" w:hAnsi="Arial" w:cs="Arial"/>
          <w:sz w:val="20"/>
          <w:szCs w:val="20"/>
          <w:lang w:val="en-US"/>
        </w:rPr>
      </w:pPr>
      <w:proofErr w:type="gramStart"/>
      <w:r w:rsidRPr="00C606DB">
        <w:rPr>
          <w:rFonts w:ascii="Arial" w:hAnsi="Arial" w:cs="Arial"/>
          <w:sz w:val="20"/>
          <w:szCs w:val="20"/>
          <w:lang w:val="en-US"/>
        </w:rPr>
        <w:t>dbh</w:t>
      </w:r>
      <w:proofErr w:type="gramEnd"/>
      <w:r w:rsidRPr="00C606DB">
        <w:rPr>
          <w:rFonts w:ascii="Arial" w:hAnsi="Arial" w:cs="Arial"/>
          <w:sz w:val="20"/>
          <w:szCs w:val="20"/>
          <w:lang w:val="en-US"/>
        </w:rPr>
        <w:t xml:space="preserve"> Logistics IT AG, Bremen</w:t>
      </w:r>
    </w:p>
    <w:p w:rsidR="00C606DB" w:rsidRPr="00C606DB" w:rsidRDefault="00C606DB" w:rsidP="00C606DB">
      <w:pPr>
        <w:rPr>
          <w:rFonts w:ascii="Arial" w:hAnsi="Arial" w:cs="Arial"/>
          <w:sz w:val="20"/>
          <w:szCs w:val="20"/>
        </w:rPr>
      </w:pPr>
      <w:r w:rsidRPr="00C606DB">
        <w:rPr>
          <w:rFonts w:ascii="Arial" w:hAnsi="Arial" w:cs="Arial"/>
          <w:sz w:val="20"/>
          <w:szCs w:val="20"/>
          <w:lang w:val="en-US"/>
        </w:rPr>
        <w:t xml:space="preserve">BLG LOGISTICS GROUP AG &amp; Co. </w:t>
      </w:r>
      <w:r>
        <w:rPr>
          <w:rFonts w:ascii="Arial" w:hAnsi="Arial" w:cs="Arial"/>
          <w:sz w:val="20"/>
          <w:szCs w:val="20"/>
        </w:rPr>
        <w:t xml:space="preserve">KG, </w:t>
      </w:r>
      <w:r w:rsidRPr="00C606DB">
        <w:rPr>
          <w:rFonts w:ascii="Arial" w:hAnsi="Arial" w:cs="Arial"/>
          <w:sz w:val="20"/>
          <w:szCs w:val="20"/>
        </w:rPr>
        <w:t>Bremen</w:t>
      </w:r>
    </w:p>
    <w:p w:rsidR="00C606DB" w:rsidRPr="00C606DB" w:rsidRDefault="00C606DB" w:rsidP="00C606DB">
      <w:pPr>
        <w:rPr>
          <w:rFonts w:ascii="Arial" w:hAnsi="Arial" w:cs="Arial"/>
          <w:sz w:val="20"/>
          <w:szCs w:val="20"/>
        </w:rPr>
      </w:pPr>
      <w:proofErr w:type="spellStart"/>
      <w:r w:rsidRPr="00C606DB">
        <w:rPr>
          <w:rFonts w:ascii="Arial" w:hAnsi="Arial" w:cs="Arial"/>
          <w:sz w:val="20"/>
          <w:szCs w:val="20"/>
        </w:rPr>
        <w:t>datenschutz</w:t>
      </w:r>
      <w:proofErr w:type="spellEnd"/>
      <w:r w:rsidRPr="00C606DB">
        <w:rPr>
          <w:rFonts w:ascii="Arial" w:hAnsi="Arial" w:cs="Arial"/>
          <w:sz w:val="20"/>
          <w:szCs w:val="20"/>
        </w:rPr>
        <w:t xml:space="preserve"> </w:t>
      </w:r>
      <w:proofErr w:type="spellStart"/>
      <w:r w:rsidRPr="00C606DB">
        <w:rPr>
          <w:rFonts w:ascii="Arial" w:hAnsi="Arial" w:cs="Arial"/>
          <w:sz w:val="20"/>
          <w:szCs w:val="20"/>
        </w:rPr>
        <w:t>cert</w:t>
      </w:r>
      <w:proofErr w:type="spellEnd"/>
      <w:r w:rsidRPr="00C606DB">
        <w:rPr>
          <w:rFonts w:ascii="Arial" w:hAnsi="Arial" w:cs="Arial"/>
          <w:sz w:val="20"/>
          <w:szCs w:val="20"/>
        </w:rPr>
        <w:t xml:space="preserve"> GmbH</w:t>
      </w:r>
      <w:r>
        <w:rPr>
          <w:rFonts w:ascii="Arial" w:hAnsi="Arial" w:cs="Arial"/>
          <w:sz w:val="20"/>
          <w:szCs w:val="20"/>
        </w:rPr>
        <w:t xml:space="preserve">, </w:t>
      </w:r>
      <w:r w:rsidRPr="00C606DB">
        <w:rPr>
          <w:rFonts w:ascii="Arial" w:hAnsi="Arial" w:cs="Arial"/>
          <w:sz w:val="20"/>
          <w:szCs w:val="20"/>
        </w:rPr>
        <w:t>Bremen</w:t>
      </w:r>
    </w:p>
    <w:p w:rsidR="00C606DB" w:rsidRPr="00C606DB" w:rsidRDefault="00C606DB" w:rsidP="00C606DB">
      <w:pPr>
        <w:rPr>
          <w:rFonts w:ascii="Arial" w:hAnsi="Arial" w:cs="Arial"/>
          <w:sz w:val="20"/>
          <w:szCs w:val="20"/>
        </w:rPr>
      </w:pPr>
      <w:r w:rsidRPr="00C606DB">
        <w:rPr>
          <w:rFonts w:ascii="Arial" w:hAnsi="Arial" w:cs="Arial"/>
          <w:sz w:val="20"/>
          <w:szCs w:val="20"/>
        </w:rPr>
        <w:t>Deutsches Forschungszentrum für Künstliche Intelligenz</w:t>
      </w:r>
      <w:r>
        <w:rPr>
          <w:rFonts w:ascii="Arial" w:hAnsi="Arial" w:cs="Arial"/>
          <w:sz w:val="20"/>
          <w:szCs w:val="20"/>
        </w:rPr>
        <w:t xml:space="preserve">, </w:t>
      </w:r>
      <w:r w:rsidRPr="00C606DB">
        <w:rPr>
          <w:rFonts w:ascii="Arial" w:hAnsi="Arial" w:cs="Arial"/>
          <w:sz w:val="20"/>
          <w:szCs w:val="20"/>
        </w:rPr>
        <w:t>Bremen</w:t>
      </w:r>
    </w:p>
    <w:p w:rsidR="00C606DB" w:rsidRPr="00C606DB" w:rsidRDefault="00C606DB" w:rsidP="00C606DB">
      <w:pPr>
        <w:rPr>
          <w:rFonts w:ascii="Arial" w:hAnsi="Arial" w:cs="Arial"/>
          <w:sz w:val="20"/>
          <w:szCs w:val="20"/>
        </w:rPr>
      </w:pPr>
      <w:r w:rsidRPr="00C606DB">
        <w:rPr>
          <w:rFonts w:ascii="Arial" w:hAnsi="Arial" w:cs="Arial"/>
          <w:sz w:val="20"/>
          <w:szCs w:val="20"/>
        </w:rPr>
        <w:t>Duisburger Hafen AG</w:t>
      </w:r>
      <w:r>
        <w:rPr>
          <w:rFonts w:ascii="Arial" w:hAnsi="Arial" w:cs="Arial"/>
          <w:sz w:val="20"/>
          <w:szCs w:val="20"/>
        </w:rPr>
        <w:t xml:space="preserve">, </w:t>
      </w:r>
      <w:r w:rsidRPr="00C606DB">
        <w:rPr>
          <w:rFonts w:ascii="Arial" w:hAnsi="Arial" w:cs="Arial"/>
          <w:sz w:val="20"/>
          <w:szCs w:val="20"/>
        </w:rPr>
        <w:t>Duisburg</w:t>
      </w:r>
    </w:p>
    <w:p w:rsidR="00C606DB" w:rsidRPr="00C606DB" w:rsidRDefault="00C606DB" w:rsidP="00C606DB">
      <w:pPr>
        <w:rPr>
          <w:rFonts w:ascii="Arial" w:hAnsi="Arial" w:cs="Arial"/>
          <w:sz w:val="20"/>
          <w:szCs w:val="20"/>
        </w:rPr>
      </w:pPr>
      <w:r w:rsidRPr="00C606DB">
        <w:rPr>
          <w:rFonts w:ascii="Arial" w:hAnsi="Arial" w:cs="Arial"/>
          <w:sz w:val="20"/>
          <w:szCs w:val="20"/>
        </w:rPr>
        <w:t>Hapag-Lloyd AG</w:t>
      </w:r>
      <w:r>
        <w:rPr>
          <w:rFonts w:ascii="Arial" w:hAnsi="Arial" w:cs="Arial"/>
          <w:sz w:val="20"/>
          <w:szCs w:val="20"/>
        </w:rPr>
        <w:t xml:space="preserve">, </w:t>
      </w:r>
      <w:r w:rsidRPr="00C606DB">
        <w:rPr>
          <w:rFonts w:ascii="Arial" w:hAnsi="Arial" w:cs="Arial"/>
          <w:sz w:val="20"/>
          <w:szCs w:val="20"/>
        </w:rPr>
        <w:t>Hamburg</w:t>
      </w:r>
    </w:p>
    <w:p w:rsidR="00C606DB" w:rsidRPr="00C606DB" w:rsidRDefault="00C606DB" w:rsidP="00C606DB">
      <w:pPr>
        <w:rPr>
          <w:rFonts w:ascii="Arial" w:hAnsi="Arial" w:cs="Arial"/>
          <w:sz w:val="20"/>
          <w:szCs w:val="20"/>
        </w:rPr>
      </w:pPr>
      <w:r w:rsidRPr="00C606DB">
        <w:rPr>
          <w:rFonts w:ascii="Arial" w:hAnsi="Arial" w:cs="Arial"/>
          <w:sz w:val="20"/>
          <w:szCs w:val="20"/>
        </w:rPr>
        <w:t>ISL Institut für Seeverkehrswirtschaft und Logistik</w:t>
      </w:r>
      <w:r>
        <w:rPr>
          <w:rFonts w:ascii="Arial" w:hAnsi="Arial" w:cs="Arial"/>
          <w:sz w:val="20"/>
          <w:szCs w:val="20"/>
        </w:rPr>
        <w:t xml:space="preserve"> (ISL), </w:t>
      </w:r>
      <w:r w:rsidRPr="00C606DB">
        <w:rPr>
          <w:rFonts w:ascii="Arial" w:hAnsi="Arial" w:cs="Arial"/>
          <w:sz w:val="20"/>
          <w:szCs w:val="20"/>
        </w:rPr>
        <w:t>Bremen/Bremerhaven</w:t>
      </w:r>
    </w:p>
    <w:p w:rsidR="00C606DB" w:rsidRDefault="00C606DB" w:rsidP="00C606DB">
      <w:pPr>
        <w:rPr>
          <w:rFonts w:ascii="Arial" w:hAnsi="Arial" w:cs="Arial"/>
          <w:sz w:val="20"/>
          <w:szCs w:val="20"/>
        </w:rPr>
      </w:pPr>
      <w:r w:rsidRPr="00C606DB">
        <w:rPr>
          <w:rFonts w:ascii="Arial" w:hAnsi="Arial" w:cs="Arial"/>
          <w:sz w:val="20"/>
          <w:szCs w:val="20"/>
        </w:rPr>
        <w:t>Universität Bremen</w:t>
      </w:r>
    </w:p>
    <w:p w:rsidR="00C606DB" w:rsidRPr="00C606DB" w:rsidRDefault="00C606DB" w:rsidP="00C606DB">
      <w:pPr>
        <w:rPr>
          <w:rFonts w:ascii="Arial" w:hAnsi="Arial" w:cs="Arial"/>
          <w:sz w:val="20"/>
          <w:szCs w:val="20"/>
        </w:rPr>
      </w:pPr>
    </w:p>
    <w:p w:rsidR="00C606DB" w:rsidRPr="00C606DB" w:rsidRDefault="00C606DB" w:rsidP="00C606DB">
      <w:pPr>
        <w:pStyle w:val="Default"/>
        <w:spacing w:after="60"/>
        <w:rPr>
          <w:rFonts w:ascii="Arial" w:hAnsi="Arial" w:cs="Arial"/>
          <w:sz w:val="20"/>
          <w:szCs w:val="22"/>
          <w:u w:val="single"/>
        </w:rPr>
      </w:pPr>
      <w:r w:rsidRPr="00C606DB">
        <w:rPr>
          <w:rFonts w:ascii="Arial" w:hAnsi="Arial" w:cs="Arial"/>
          <w:sz w:val="20"/>
          <w:szCs w:val="22"/>
          <w:u w:val="single"/>
        </w:rPr>
        <w:t>Assoziierte Partner</w:t>
      </w:r>
    </w:p>
    <w:p w:rsidR="00C606DB" w:rsidRPr="00441E0F" w:rsidRDefault="00C606DB" w:rsidP="00C606DB">
      <w:pPr>
        <w:rPr>
          <w:rFonts w:ascii="Arial" w:hAnsi="Arial" w:cs="Arial"/>
          <w:sz w:val="20"/>
          <w:szCs w:val="20"/>
        </w:rPr>
      </w:pPr>
      <w:proofErr w:type="spellStart"/>
      <w:r w:rsidRPr="00441E0F">
        <w:rPr>
          <w:rFonts w:ascii="Arial" w:hAnsi="Arial" w:cs="Arial"/>
          <w:sz w:val="20"/>
          <w:szCs w:val="20"/>
        </w:rPr>
        <w:t>bremenports</w:t>
      </w:r>
      <w:proofErr w:type="spellEnd"/>
      <w:r w:rsidRPr="00441E0F">
        <w:rPr>
          <w:rFonts w:ascii="Arial" w:hAnsi="Arial" w:cs="Arial"/>
          <w:sz w:val="20"/>
          <w:szCs w:val="20"/>
        </w:rPr>
        <w:t xml:space="preserve"> GmbH &amp; Co. KG, Bremen/Bremerhaven</w:t>
      </w:r>
    </w:p>
    <w:p w:rsidR="00C606DB" w:rsidRDefault="00C606DB" w:rsidP="00C606DB">
      <w:pPr>
        <w:rPr>
          <w:rFonts w:ascii="Arial" w:hAnsi="Arial" w:cs="Arial"/>
          <w:color w:val="222222"/>
          <w:sz w:val="21"/>
          <w:szCs w:val="21"/>
        </w:rPr>
      </w:pPr>
      <w:r>
        <w:rPr>
          <w:rFonts w:ascii="Arial" w:hAnsi="Arial" w:cs="Arial"/>
          <w:color w:val="222222"/>
          <w:sz w:val="21"/>
          <w:szCs w:val="21"/>
        </w:rPr>
        <w:t>EUROGATE GmbH &amp; Co. KGaA, KG, Bremen</w:t>
      </w:r>
    </w:p>
    <w:p w:rsidR="00C606DB" w:rsidRPr="00C606DB" w:rsidRDefault="00C606DB" w:rsidP="00C606DB">
      <w:pPr>
        <w:rPr>
          <w:rFonts w:ascii="Arial" w:hAnsi="Arial" w:cs="Arial"/>
          <w:sz w:val="20"/>
          <w:szCs w:val="20"/>
        </w:rPr>
      </w:pPr>
      <w:r w:rsidRPr="00C606DB">
        <w:rPr>
          <w:rFonts w:ascii="Arial" w:hAnsi="Arial" w:cs="Arial"/>
          <w:sz w:val="20"/>
          <w:szCs w:val="20"/>
        </w:rPr>
        <w:t>Niedersachsen Ports</w:t>
      </w:r>
      <w:r>
        <w:rPr>
          <w:rFonts w:ascii="Arial" w:hAnsi="Arial" w:cs="Arial"/>
          <w:sz w:val="20"/>
          <w:szCs w:val="20"/>
        </w:rPr>
        <w:t xml:space="preserve"> </w:t>
      </w:r>
      <w:r w:rsidRPr="00C606DB">
        <w:rPr>
          <w:rFonts w:ascii="Arial" w:hAnsi="Arial" w:cs="Arial"/>
          <w:sz w:val="20"/>
          <w:szCs w:val="20"/>
        </w:rPr>
        <w:t>GmbH &amp; Co. KG</w:t>
      </w:r>
      <w:r>
        <w:rPr>
          <w:rFonts w:ascii="Arial" w:hAnsi="Arial" w:cs="Arial"/>
          <w:sz w:val="20"/>
          <w:szCs w:val="20"/>
        </w:rPr>
        <w:t xml:space="preserve">, </w:t>
      </w:r>
      <w:r w:rsidRPr="00C606DB">
        <w:rPr>
          <w:rFonts w:ascii="Arial" w:hAnsi="Arial" w:cs="Arial"/>
          <w:sz w:val="20"/>
          <w:szCs w:val="20"/>
        </w:rPr>
        <w:t>Oldenburg</w:t>
      </w:r>
    </w:p>
    <w:p w:rsidR="006D16A2" w:rsidRPr="00367781" w:rsidRDefault="00C606DB" w:rsidP="00C606DB">
      <w:pPr>
        <w:rPr>
          <w:rFonts w:ascii="Arial" w:hAnsi="Arial" w:cs="Arial"/>
          <w:sz w:val="20"/>
          <w:szCs w:val="20"/>
        </w:rPr>
      </w:pPr>
      <w:proofErr w:type="spellStart"/>
      <w:r w:rsidRPr="00C606DB">
        <w:rPr>
          <w:rFonts w:ascii="Arial" w:hAnsi="Arial" w:cs="Arial"/>
          <w:sz w:val="20"/>
          <w:szCs w:val="20"/>
        </w:rPr>
        <w:t>JadeWeserPort</w:t>
      </w:r>
      <w:proofErr w:type="spellEnd"/>
      <w:r>
        <w:rPr>
          <w:rFonts w:ascii="Arial" w:hAnsi="Arial" w:cs="Arial"/>
          <w:sz w:val="20"/>
          <w:szCs w:val="20"/>
        </w:rPr>
        <w:t xml:space="preserve"> </w:t>
      </w:r>
      <w:proofErr w:type="spellStart"/>
      <w:r w:rsidRPr="00C606DB">
        <w:rPr>
          <w:rFonts w:ascii="Arial" w:hAnsi="Arial" w:cs="Arial"/>
          <w:sz w:val="20"/>
          <w:szCs w:val="20"/>
        </w:rPr>
        <w:t>Realisierungs</w:t>
      </w:r>
      <w:proofErr w:type="spellEnd"/>
      <w:r w:rsidRPr="00C606DB">
        <w:rPr>
          <w:rFonts w:ascii="Arial" w:hAnsi="Arial" w:cs="Arial"/>
          <w:sz w:val="20"/>
          <w:szCs w:val="20"/>
        </w:rPr>
        <w:t xml:space="preserve"> GmbH &amp; Co. KG</w:t>
      </w:r>
      <w:r>
        <w:rPr>
          <w:rFonts w:ascii="Arial" w:hAnsi="Arial" w:cs="Arial"/>
          <w:sz w:val="20"/>
          <w:szCs w:val="20"/>
        </w:rPr>
        <w:t xml:space="preserve">, </w:t>
      </w:r>
      <w:r w:rsidRPr="00C606DB">
        <w:rPr>
          <w:rFonts w:ascii="Arial" w:hAnsi="Arial" w:cs="Arial"/>
          <w:sz w:val="20"/>
          <w:szCs w:val="20"/>
        </w:rPr>
        <w:t>Wilhelmshaven</w:t>
      </w:r>
    </w:p>
    <w:p w:rsidR="006D16A2" w:rsidRDefault="006D16A2" w:rsidP="00E72761">
      <w:pPr>
        <w:rPr>
          <w:rFonts w:ascii="Arial" w:hAnsi="Arial" w:cs="Arial"/>
          <w:sz w:val="20"/>
          <w:szCs w:val="20"/>
        </w:rPr>
      </w:pPr>
    </w:p>
    <w:p w:rsidR="00C606DB" w:rsidRDefault="00C606DB" w:rsidP="00E72761">
      <w:pPr>
        <w:rPr>
          <w:rFonts w:ascii="Arial" w:hAnsi="Arial" w:cs="Arial"/>
          <w:sz w:val="20"/>
          <w:szCs w:val="20"/>
        </w:rPr>
      </w:pPr>
    </w:p>
    <w:p w:rsidR="00E72761" w:rsidRPr="00367781" w:rsidRDefault="00E72761" w:rsidP="00E72761">
      <w:pPr>
        <w:rPr>
          <w:rFonts w:ascii="Arial" w:hAnsi="Arial" w:cs="Arial"/>
          <w:b/>
          <w:sz w:val="20"/>
          <w:szCs w:val="20"/>
        </w:rPr>
      </w:pPr>
      <w:r w:rsidRPr="00367781">
        <w:rPr>
          <w:rFonts w:ascii="Arial" w:hAnsi="Arial" w:cs="Arial"/>
          <w:b/>
          <w:sz w:val="20"/>
          <w:szCs w:val="20"/>
        </w:rPr>
        <w:t>Pressekontakt:</w:t>
      </w:r>
    </w:p>
    <w:p w:rsidR="00A80727" w:rsidRPr="00367781" w:rsidRDefault="00D565B8" w:rsidP="00972DC9">
      <w:pPr>
        <w:rPr>
          <w:rFonts w:ascii="Arial" w:hAnsi="Arial" w:cs="Arial"/>
          <w:sz w:val="20"/>
          <w:szCs w:val="20"/>
        </w:rPr>
      </w:pPr>
      <w:r w:rsidRPr="00367781">
        <w:rPr>
          <w:rFonts w:ascii="Arial" w:hAnsi="Arial" w:cs="Arial"/>
          <w:sz w:val="20"/>
          <w:szCs w:val="20"/>
        </w:rPr>
        <w:t xml:space="preserve">Karin Steffen-Witt / Standortleiterin Lübeck </w:t>
      </w:r>
      <w:r w:rsidR="00E72761" w:rsidRPr="00367781">
        <w:rPr>
          <w:rFonts w:ascii="Arial" w:hAnsi="Arial" w:cs="Arial"/>
          <w:sz w:val="20"/>
          <w:szCs w:val="20"/>
        </w:rPr>
        <w:br/>
        <w:t>dbh Logistics IT AG</w:t>
      </w:r>
      <w:r w:rsidR="00E72761" w:rsidRPr="00367781">
        <w:rPr>
          <w:rFonts w:ascii="Arial" w:hAnsi="Arial" w:cs="Arial"/>
          <w:sz w:val="20"/>
          <w:szCs w:val="20"/>
        </w:rPr>
        <w:br/>
        <w:t>Tel.</w:t>
      </w:r>
      <w:r w:rsidR="003112F2" w:rsidRPr="00367781">
        <w:rPr>
          <w:rFonts w:ascii="Arial" w:hAnsi="Arial" w:cs="Arial"/>
          <w:sz w:val="20"/>
          <w:szCs w:val="20"/>
        </w:rPr>
        <w:t>:</w:t>
      </w:r>
      <w:r w:rsidR="00E72761" w:rsidRPr="00367781">
        <w:rPr>
          <w:rFonts w:ascii="Arial" w:hAnsi="Arial" w:cs="Arial"/>
          <w:sz w:val="20"/>
          <w:szCs w:val="20"/>
        </w:rPr>
        <w:t xml:space="preserve"> +49 </w:t>
      </w:r>
      <w:r w:rsidRPr="00367781">
        <w:rPr>
          <w:rFonts w:ascii="Arial" w:hAnsi="Arial" w:cs="Arial"/>
          <w:sz w:val="20"/>
          <w:szCs w:val="20"/>
        </w:rPr>
        <w:t xml:space="preserve">451 </w:t>
      </w:r>
      <w:r w:rsidRPr="00367781">
        <w:rPr>
          <w:rFonts w:ascii="Arial" w:eastAsiaTheme="minorEastAsia" w:hAnsi="Arial" w:cs="Arial"/>
          <w:sz w:val="20"/>
          <w:szCs w:val="20"/>
        </w:rPr>
        <w:t>707971-15</w:t>
      </w:r>
      <w:r w:rsidR="00E72761" w:rsidRPr="00367781">
        <w:rPr>
          <w:rFonts w:ascii="Arial" w:hAnsi="Arial" w:cs="Arial"/>
          <w:sz w:val="20"/>
          <w:szCs w:val="20"/>
        </w:rPr>
        <w:br/>
        <w:t>E-Mail</w:t>
      </w:r>
      <w:r w:rsidR="003112F2" w:rsidRPr="00367781">
        <w:rPr>
          <w:rFonts w:ascii="Arial" w:hAnsi="Arial" w:cs="Arial"/>
          <w:sz w:val="20"/>
          <w:szCs w:val="20"/>
        </w:rPr>
        <w:t xml:space="preserve">: </w:t>
      </w:r>
      <w:hyperlink r:id="rId13" w:history="1">
        <w:r w:rsidR="001F6B67" w:rsidRPr="00367781">
          <w:rPr>
            <w:rStyle w:val="Hyperlink"/>
            <w:rFonts w:ascii="Arial" w:hAnsi="Arial" w:cs="Arial"/>
            <w:sz w:val="20"/>
            <w:szCs w:val="20"/>
          </w:rPr>
          <w:t>karin.steffen-witt@dbh.de</w:t>
        </w:r>
      </w:hyperlink>
    </w:p>
    <w:p w:rsidR="00A953F9" w:rsidRDefault="00A953F9" w:rsidP="00A953F9">
      <w:pPr>
        <w:rPr>
          <w:rFonts w:asciiTheme="majorHAnsi" w:hAnsiTheme="majorHAnsi" w:cstheme="majorHAnsi"/>
        </w:rPr>
      </w:pPr>
    </w:p>
    <w:sectPr w:rsidR="00A953F9" w:rsidSect="00544B00">
      <w:headerReference w:type="default" r:id="rId14"/>
      <w:footerReference w:type="default" r:id="rId15"/>
      <w:headerReference w:type="first" r:id="rId16"/>
      <w:pgSz w:w="11906" w:h="16838" w:code="9"/>
      <w:pgMar w:top="1701" w:right="1418" w:bottom="1418"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30A28" w:rsidRDefault="00730A28" w:rsidP="002971FE">
      <w:pPr>
        <w:spacing w:line="240" w:lineRule="auto"/>
      </w:pPr>
      <w:r>
        <w:separator/>
      </w:r>
    </w:p>
  </w:endnote>
  <w:endnote w:type="continuationSeparator" w:id="0">
    <w:p w:rsidR="00730A28" w:rsidRDefault="00730A28" w:rsidP="002971F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tOT dbh">
    <w:altName w:val="Calibri"/>
    <w:panose1 w:val="020B0504030101020102"/>
    <w:charset w:val="00"/>
    <w:family w:val="swiss"/>
    <w:pitch w:val="variable"/>
    <w:sig w:usb0="800000EF" w:usb1="5000207B" w:usb2="00000028" w:usb3="00000000" w:csb0="00000001" w:csb1="00000000"/>
  </w:font>
  <w:font w:name="UnitOT dbhMedi">
    <w:altName w:val="Calibri"/>
    <w:panose1 w:val="020B0604030101020102"/>
    <w:charset w:val="00"/>
    <w:family w:val="swiss"/>
    <w:pitch w:val="variable"/>
    <w:sig w:usb0="800000EF" w:usb1="5000207B" w:usb2="00000028" w:usb3="00000000" w:csb0="00000001" w:csb1="00000000"/>
  </w:font>
  <w:font w:name="Tahoma">
    <w:panose1 w:val="020B0604030504040204"/>
    <w:charset w:val="00"/>
    <w:family w:val="swiss"/>
    <w:pitch w:val="variable"/>
    <w:sig w:usb0="E1002EFF" w:usb1="C000605B" w:usb2="00000029" w:usb3="00000000" w:csb0="000101FF" w:csb1="00000000"/>
  </w:font>
  <w:font w:name="BundesSans Office">
    <w:charset w:val="00"/>
    <w:family w:val="swiss"/>
    <w:pitch w:val="variable"/>
    <w:sig w:usb0="A00000BF" w:usb1="4000206B" w:usb2="00000000" w:usb3="00000000" w:csb0="00000093"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6149" w:rsidRPr="00336149" w:rsidRDefault="00336149" w:rsidP="00336149">
    <w:pPr>
      <w:pStyle w:val="Fuzeile"/>
      <w:spacing w:after="60"/>
      <w:rPr>
        <w:rFonts w:ascii="Arial" w:hAnsi="Arial"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30A28" w:rsidRDefault="00730A28" w:rsidP="002971FE">
      <w:pPr>
        <w:spacing w:line="240" w:lineRule="auto"/>
      </w:pPr>
      <w:r>
        <w:separator/>
      </w:r>
    </w:p>
  </w:footnote>
  <w:footnote w:type="continuationSeparator" w:id="0">
    <w:p w:rsidR="00730A28" w:rsidRDefault="00730A28" w:rsidP="002971F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2DC9" w:rsidRPr="00544B00" w:rsidRDefault="00544B00" w:rsidP="00544B00">
    <w:pPr>
      <w:pStyle w:val="Kopfzeile"/>
      <w:tabs>
        <w:tab w:val="clear" w:pos="8007"/>
        <w:tab w:val="left" w:pos="6663"/>
      </w:tabs>
      <w:ind w:right="-569"/>
      <w:rPr>
        <w:rFonts w:ascii="Arial" w:hAnsi="Arial" w:cs="Arial"/>
        <w:b/>
        <w:color w:val="auto"/>
        <w:sz w:val="32"/>
      </w:rPr>
    </w:pPr>
    <w:r w:rsidRPr="00544B00">
      <w:rPr>
        <w:rFonts w:ascii="Arial" w:hAnsi="Arial" w:cs="Arial"/>
        <w:b/>
        <w:noProof/>
        <w:color w:val="auto"/>
        <w:sz w:val="32"/>
        <w14:numForm w14:val="default"/>
      </w:rPr>
      <w:drawing>
        <wp:anchor distT="0" distB="0" distL="114300" distR="114300" simplePos="0" relativeHeight="251658240" behindDoc="1" locked="0" layoutInCell="1" allowOverlap="1">
          <wp:simplePos x="0" y="0"/>
          <wp:positionH relativeFrom="column">
            <wp:posOffset>5281295</wp:posOffset>
          </wp:positionH>
          <wp:positionV relativeFrom="paragraph">
            <wp:posOffset>-112395</wp:posOffset>
          </wp:positionV>
          <wp:extent cx="773430" cy="773430"/>
          <wp:effectExtent l="0" t="0" r="7620" b="7620"/>
          <wp:wrapTight wrapText="bothSides">
            <wp:wrapPolygon edited="0">
              <wp:start x="0" y="0"/>
              <wp:lineTo x="0" y="21281"/>
              <wp:lineTo x="21281" y="21281"/>
              <wp:lineTo x="21281"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_SchleusenNOK40_150ppi.jpg"/>
                  <pic:cNvPicPr/>
                </pic:nvPicPr>
                <pic:blipFill>
                  <a:blip r:embed="rId1">
                    <a:extLst>
                      <a:ext uri="{28A0092B-C50C-407E-A947-70E740481C1C}">
                        <a14:useLocalDpi xmlns:a14="http://schemas.microsoft.com/office/drawing/2010/main" val="0"/>
                      </a:ext>
                    </a:extLst>
                  </a:blip>
                  <a:stretch>
                    <a:fillRect/>
                  </a:stretch>
                </pic:blipFill>
                <pic:spPr>
                  <a:xfrm>
                    <a:off x="0" y="0"/>
                    <a:ext cx="773430" cy="773430"/>
                  </a:xfrm>
                  <a:prstGeom prst="rect">
                    <a:avLst/>
                  </a:prstGeom>
                </pic:spPr>
              </pic:pic>
            </a:graphicData>
          </a:graphic>
          <wp14:sizeRelH relativeFrom="page">
            <wp14:pctWidth>0</wp14:pctWidth>
          </wp14:sizeRelH>
          <wp14:sizeRelV relativeFrom="page">
            <wp14:pctHeight>0</wp14:pctHeight>
          </wp14:sizeRelV>
        </wp:anchor>
      </w:drawing>
    </w:r>
    <w:r w:rsidRPr="00544B00">
      <w:rPr>
        <w:rFonts w:ascii="Arial" w:hAnsi="Arial" w:cs="Arial"/>
        <w:b/>
        <w:caps w:val="0"/>
        <w:color w:val="auto"/>
        <w:sz w:val="32"/>
      </w:rPr>
      <w:t>PRESSEMITTEILUNG</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2DC9" w:rsidRPr="00D35971" w:rsidRDefault="00972DC9" w:rsidP="00D35971">
    <w:pPr>
      <w:pStyle w:val="Kopfzeile"/>
    </w:pPr>
    <w:r>
      <w:rPr>
        <w:noProof/>
      </w:rPr>
      <w:drawing>
        <wp:anchor distT="0" distB="0" distL="114300" distR="114300" simplePos="0" relativeHeight="251654144" behindDoc="1" locked="1" layoutInCell="1" allowOverlap="1" wp14:anchorId="0CC97104" wp14:editId="2701580F">
          <wp:simplePos x="0" y="0"/>
          <wp:positionH relativeFrom="page">
            <wp:posOffset>0</wp:posOffset>
          </wp:positionH>
          <wp:positionV relativeFrom="page">
            <wp:posOffset>0</wp:posOffset>
          </wp:positionV>
          <wp:extent cx="7567200" cy="10688400"/>
          <wp:effectExtent l="0" t="0" r="0" b="0"/>
          <wp:wrapNone/>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hg.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7200" cy="10688400"/>
                  </a:xfrm>
                  <a:prstGeom prst="rect">
                    <a:avLst/>
                  </a:prstGeom>
                  <a:noFill/>
                  <a:ln>
                    <a:noFill/>
                  </a:ln>
                </pic:spPr>
              </pic:pic>
            </a:graphicData>
          </a:graphic>
          <wp14:sizeRelH relativeFrom="page">
            <wp14:pctWidth>0</wp14:pctWidth>
          </wp14:sizeRelH>
          <wp14:sizeRelV relativeFrom="page">
            <wp14:pctHeight>0</wp14:pctHeight>
          </wp14:sizeRelV>
        </wp:anchor>
      </w:drawing>
    </w:r>
    <w:r w:rsidR="00D35971">
      <w:tab/>
    </w:r>
    <w:r w:rsidR="00D35971" w:rsidRPr="00D35971">
      <w:t>Seite</w:t>
    </w:r>
    <w:r w:rsidR="00D35971">
      <w:t xml:space="preserve"> </w:t>
    </w:r>
    <w:r w:rsidR="00D35971">
      <w:fldChar w:fldCharType="begin"/>
    </w:r>
    <w:r w:rsidR="00D35971">
      <w:instrText xml:space="preserve"> PAGE  \* Arabic  \* MERGEFORMAT </w:instrText>
    </w:r>
    <w:r w:rsidR="00D35971">
      <w:fldChar w:fldCharType="separate"/>
    </w:r>
    <w:r w:rsidR="002B4DAC">
      <w:rPr>
        <w:noProof/>
      </w:rPr>
      <w:t>1</w:t>
    </w:r>
    <w:r w:rsidR="00D35971">
      <w:fldChar w:fldCharType="end"/>
    </w:r>
    <w:r w:rsidR="00D35971">
      <w:t xml:space="preserve"> von </w:t>
    </w:r>
    <w:r w:rsidR="002B4DAC">
      <w:rPr>
        <w:noProof/>
      </w:rPr>
      <w:fldChar w:fldCharType="begin"/>
    </w:r>
    <w:r w:rsidR="002B4DAC">
      <w:rPr>
        <w:noProof/>
      </w:rPr>
      <w:instrText xml:space="preserve"> NUMPAGES  \* Arabic  \* MERGEFORMAT </w:instrText>
    </w:r>
    <w:r w:rsidR="002B4DAC">
      <w:rPr>
        <w:noProof/>
      </w:rPr>
      <w:fldChar w:fldCharType="separate"/>
    </w:r>
    <w:r w:rsidR="00B5632C">
      <w:rPr>
        <w:noProof/>
      </w:rPr>
      <w:t>4</w:t>
    </w:r>
    <w:r w:rsidR="002B4DAC">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B7D71"/>
    <w:multiLevelType w:val="hybridMultilevel"/>
    <w:tmpl w:val="4CA26D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5892DA1"/>
    <w:multiLevelType w:val="multilevel"/>
    <w:tmpl w:val="4A8AE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DC72ED8"/>
    <w:multiLevelType w:val="hybridMultilevel"/>
    <w:tmpl w:val="2D0EB7BE"/>
    <w:lvl w:ilvl="0" w:tplc="7938FB74">
      <w:start w:val="1"/>
      <w:numFmt w:val="bullet"/>
      <w:pStyle w:val="Bullet"/>
      <w:lvlText w:val="•"/>
      <w:lvlJc w:val="left"/>
      <w:pPr>
        <w:ind w:left="113" w:hanging="113"/>
      </w:pPr>
      <w:rPr>
        <w:rFonts w:ascii="UnitOT dbh" w:hAnsi="UnitOT dbh" w:hint="default"/>
        <w:color w:val="E30613" w:themeColor="accent1"/>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4E4856E2"/>
    <w:multiLevelType w:val="hybridMultilevel"/>
    <w:tmpl w:val="E78688F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2"/>
    <w:lvlOverride w:ilvl="0">
      <w:startOverride w:val="1"/>
    </w:lvlOverride>
  </w:num>
  <w:num w:numId="3">
    <w:abstractNumId w:val="2"/>
    <w:lvlOverride w:ilvl="0">
      <w:startOverride w:val="1"/>
    </w:lvlOverride>
  </w:num>
  <w:num w:numId="4">
    <w:abstractNumId w:val="1"/>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0DB9"/>
    <w:rsid w:val="00027D54"/>
    <w:rsid w:val="00040CE3"/>
    <w:rsid w:val="00043A93"/>
    <w:rsid w:val="00050ABB"/>
    <w:rsid w:val="000532EA"/>
    <w:rsid w:val="000652FE"/>
    <w:rsid w:val="0006732E"/>
    <w:rsid w:val="000678BB"/>
    <w:rsid w:val="000703E2"/>
    <w:rsid w:val="00071AED"/>
    <w:rsid w:val="00084967"/>
    <w:rsid w:val="000B1234"/>
    <w:rsid w:val="000B4011"/>
    <w:rsid w:val="000D5E3D"/>
    <w:rsid w:val="000E5009"/>
    <w:rsid w:val="000F1166"/>
    <w:rsid w:val="000F7A2B"/>
    <w:rsid w:val="001101A1"/>
    <w:rsid w:val="00146AD3"/>
    <w:rsid w:val="00150989"/>
    <w:rsid w:val="001570E1"/>
    <w:rsid w:val="0016531B"/>
    <w:rsid w:val="00165AE7"/>
    <w:rsid w:val="0017358A"/>
    <w:rsid w:val="001939B6"/>
    <w:rsid w:val="001A23EF"/>
    <w:rsid w:val="001A2D77"/>
    <w:rsid w:val="001B7F96"/>
    <w:rsid w:val="001C3DE0"/>
    <w:rsid w:val="001F6B67"/>
    <w:rsid w:val="00217C39"/>
    <w:rsid w:val="00222A41"/>
    <w:rsid w:val="002467C6"/>
    <w:rsid w:val="00251A98"/>
    <w:rsid w:val="00280ADD"/>
    <w:rsid w:val="00281D8E"/>
    <w:rsid w:val="002971FE"/>
    <w:rsid w:val="002B4A40"/>
    <w:rsid w:val="002B4DAC"/>
    <w:rsid w:val="002C40B7"/>
    <w:rsid w:val="002E5BD4"/>
    <w:rsid w:val="003112F2"/>
    <w:rsid w:val="00325604"/>
    <w:rsid w:val="00334915"/>
    <w:rsid w:val="003355DB"/>
    <w:rsid w:val="00336149"/>
    <w:rsid w:val="0033632C"/>
    <w:rsid w:val="003641C8"/>
    <w:rsid w:val="00367781"/>
    <w:rsid w:val="003A0F69"/>
    <w:rsid w:val="003A6950"/>
    <w:rsid w:val="003B64B7"/>
    <w:rsid w:val="003B6D57"/>
    <w:rsid w:val="003C3580"/>
    <w:rsid w:val="003E4A12"/>
    <w:rsid w:val="003F4699"/>
    <w:rsid w:val="0040221B"/>
    <w:rsid w:val="00425724"/>
    <w:rsid w:val="00431006"/>
    <w:rsid w:val="00441E0F"/>
    <w:rsid w:val="0046221E"/>
    <w:rsid w:val="00484564"/>
    <w:rsid w:val="0048632A"/>
    <w:rsid w:val="004B14E8"/>
    <w:rsid w:val="004B2718"/>
    <w:rsid w:val="004D65A1"/>
    <w:rsid w:val="004E7331"/>
    <w:rsid w:val="004F15E4"/>
    <w:rsid w:val="00540EBC"/>
    <w:rsid w:val="005416C5"/>
    <w:rsid w:val="00544B00"/>
    <w:rsid w:val="00546BE3"/>
    <w:rsid w:val="00553760"/>
    <w:rsid w:val="005670EE"/>
    <w:rsid w:val="005A2067"/>
    <w:rsid w:val="005A48A0"/>
    <w:rsid w:val="005A57B3"/>
    <w:rsid w:val="005D4233"/>
    <w:rsid w:val="005E31BA"/>
    <w:rsid w:val="005E3419"/>
    <w:rsid w:val="00601F01"/>
    <w:rsid w:val="006072B4"/>
    <w:rsid w:val="006201DA"/>
    <w:rsid w:val="006221A7"/>
    <w:rsid w:val="0062720A"/>
    <w:rsid w:val="00636780"/>
    <w:rsid w:val="00644A8A"/>
    <w:rsid w:val="00692158"/>
    <w:rsid w:val="00693532"/>
    <w:rsid w:val="006938FF"/>
    <w:rsid w:val="00695BB5"/>
    <w:rsid w:val="006A3C49"/>
    <w:rsid w:val="006A423B"/>
    <w:rsid w:val="006B7563"/>
    <w:rsid w:val="006C11A5"/>
    <w:rsid w:val="006C3B89"/>
    <w:rsid w:val="006C3C21"/>
    <w:rsid w:val="006C483C"/>
    <w:rsid w:val="006D0DB9"/>
    <w:rsid w:val="006D16A2"/>
    <w:rsid w:val="006D380B"/>
    <w:rsid w:val="00702259"/>
    <w:rsid w:val="00722E46"/>
    <w:rsid w:val="00730A28"/>
    <w:rsid w:val="00753C0C"/>
    <w:rsid w:val="00775E21"/>
    <w:rsid w:val="00777732"/>
    <w:rsid w:val="00783C68"/>
    <w:rsid w:val="007943E6"/>
    <w:rsid w:val="007A6F98"/>
    <w:rsid w:val="007A7718"/>
    <w:rsid w:val="007B5B10"/>
    <w:rsid w:val="007C0273"/>
    <w:rsid w:val="007C45C0"/>
    <w:rsid w:val="007C5172"/>
    <w:rsid w:val="007D0A63"/>
    <w:rsid w:val="007E3FB5"/>
    <w:rsid w:val="007F2443"/>
    <w:rsid w:val="00801ACA"/>
    <w:rsid w:val="008673AC"/>
    <w:rsid w:val="00876607"/>
    <w:rsid w:val="008D1078"/>
    <w:rsid w:val="008E1DAB"/>
    <w:rsid w:val="00926FD7"/>
    <w:rsid w:val="00932068"/>
    <w:rsid w:val="00940CE1"/>
    <w:rsid w:val="009427C2"/>
    <w:rsid w:val="009454B7"/>
    <w:rsid w:val="00953DAD"/>
    <w:rsid w:val="00965299"/>
    <w:rsid w:val="009670D5"/>
    <w:rsid w:val="00972DC9"/>
    <w:rsid w:val="00984CD8"/>
    <w:rsid w:val="009872FF"/>
    <w:rsid w:val="009B2B21"/>
    <w:rsid w:val="009B39E7"/>
    <w:rsid w:val="009F63C2"/>
    <w:rsid w:val="00A055CF"/>
    <w:rsid w:val="00A123FE"/>
    <w:rsid w:val="00A1508D"/>
    <w:rsid w:val="00A33DA7"/>
    <w:rsid w:val="00A34190"/>
    <w:rsid w:val="00A55B9D"/>
    <w:rsid w:val="00A741B0"/>
    <w:rsid w:val="00A80727"/>
    <w:rsid w:val="00A92573"/>
    <w:rsid w:val="00A952A3"/>
    <w:rsid w:val="00A953F9"/>
    <w:rsid w:val="00AA6212"/>
    <w:rsid w:val="00AD3206"/>
    <w:rsid w:val="00AD3AAD"/>
    <w:rsid w:val="00AE2A4C"/>
    <w:rsid w:val="00B022DB"/>
    <w:rsid w:val="00B05AA8"/>
    <w:rsid w:val="00B1791E"/>
    <w:rsid w:val="00B5632C"/>
    <w:rsid w:val="00B738E3"/>
    <w:rsid w:val="00B7443A"/>
    <w:rsid w:val="00B83D9A"/>
    <w:rsid w:val="00BA307B"/>
    <w:rsid w:val="00BA5CED"/>
    <w:rsid w:val="00BE1441"/>
    <w:rsid w:val="00C139B2"/>
    <w:rsid w:val="00C13DAD"/>
    <w:rsid w:val="00C21330"/>
    <w:rsid w:val="00C2584E"/>
    <w:rsid w:val="00C25D73"/>
    <w:rsid w:val="00C4039C"/>
    <w:rsid w:val="00C57154"/>
    <w:rsid w:val="00C606DB"/>
    <w:rsid w:val="00C63840"/>
    <w:rsid w:val="00C734D7"/>
    <w:rsid w:val="00C76665"/>
    <w:rsid w:val="00C94128"/>
    <w:rsid w:val="00C95DD4"/>
    <w:rsid w:val="00CA56D4"/>
    <w:rsid w:val="00CC793E"/>
    <w:rsid w:val="00CF12F6"/>
    <w:rsid w:val="00CF4C52"/>
    <w:rsid w:val="00CF59ED"/>
    <w:rsid w:val="00D04D06"/>
    <w:rsid w:val="00D10145"/>
    <w:rsid w:val="00D35971"/>
    <w:rsid w:val="00D470CF"/>
    <w:rsid w:val="00D51608"/>
    <w:rsid w:val="00D54152"/>
    <w:rsid w:val="00D565B8"/>
    <w:rsid w:val="00D62119"/>
    <w:rsid w:val="00D669F5"/>
    <w:rsid w:val="00D72039"/>
    <w:rsid w:val="00D72F5A"/>
    <w:rsid w:val="00D823B6"/>
    <w:rsid w:val="00D91671"/>
    <w:rsid w:val="00DB3DCA"/>
    <w:rsid w:val="00DB456A"/>
    <w:rsid w:val="00DB5531"/>
    <w:rsid w:val="00DC217F"/>
    <w:rsid w:val="00DC3BFB"/>
    <w:rsid w:val="00DD7DDA"/>
    <w:rsid w:val="00DE0715"/>
    <w:rsid w:val="00DF0373"/>
    <w:rsid w:val="00E044D7"/>
    <w:rsid w:val="00E16AE7"/>
    <w:rsid w:val="00E264CD"/>
    <w:rsid w:val="00E27B5B"/>
    <w:rsid w:val="00E41BA6"/>
    <w:rsid w:val="00E64EB1"/>
    <w:rsid w:val="00E71F2D"/>
    <w:rsid w:val="00E72761"/>
    <w:rsid w:val="00E80807"/>
    <w:rsid w:val="00EC497E"/>
    <w:rsid w:val="00F049D0"/>
    <w:rsid w:val="00F50B51"/>
    <w:rsid w:val="00F75916"/>
    <w:rsid w:val="00F84697"/>
    <w:rsid w:val="00FB11F9"/>
    <w:rsid w:val="00FB5E5E"/>
    <w:rsid w:val="00FC7A54"/>
    <w:rsid w:val="00FE1BDC"/>
    <w:rsid w:val="00FF073B"/>
  </w:rsids>
  <m:mathPr>
    <m:mathFont m:val="Cambria Math"/>
    <m:brkBin m:val="before"/>
    <m:brkBinSub m:val="--"/>
    <m:smallFrac m:val="0"/>
    <m:dispDef/>
    <m:lMargin m:val="0"/>
    <m:rMargin m:val="0"/>
    <m:defJc m:val="centerGroup"/>
    <m:wrapIndent m:val="1440"/>
    <m:intLim m:val="subSup"/>
    <m:naryLim m:val="undOvr"/>
  </m:mathPr>
  <w:themeFontLang w:val="de-DE" w:eastAsia="de-DE"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3009"/>
    <o:shapelayout v:ext="edit">
      <o:idmap v:ext="edit" data="1"/>
    </o:shapelayout>
  </w:shapeDefaults>
  <w:decimalSymbol w:val=","/>
  <w:listSeparator w:val=";"/>
  <w14:docId w14:val="623246B0"/>
  <w15:docId w15:val="{27ADD84F-518A-4593-A723-1DD2D111DB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imes New Roman" w:cs="Times New Roman"/>
        <w:sz w:val="22"/>
        <w:szCs w:val="22"/>
        <w:lang w:val="de-DE" w:eastAsia="de-D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972DC9"/>
    <w:pPr>
      <w:spacing w:after="0" w:line="280" w:lineRule="atLeast"/>
    </w:pPr>
    <w:rPr>
      <w:sz w:val="18"/>
    </w:rPr>
  </w:style>
  <w:style w:type="paragraph" w:styleId="berschrift1">
    <w:name w:val="heading 1"/>
    <w:basedOn w:val="Standard"/>
    <w:next w:val="Standard"/>
    <w:link w:val="berschrift1Zchn"/>
    <w:uiPriority w:val="9"/>
    <w:qFormat/>
    <w:rsid w:val="00546BE3"/>
    <w:pPr>
      <w:outlineLvl w:val="0"/>
    </w:pPr>
    <w:rPr>
      <w:rFonts w:asciiTheme="majorHAnsi" w:hAnsiTheme="majorHAnsi" w:cstheme="majorHAnsi"/>
      <w:caps/>
      <w:color w:val="E30613" w:themeColor="accent1"/>
      <w:sz w:val="21"/>
      <w:szCs w:val="21"/>
    </w:rPr>
  </w:style>
  <w:style w:type="paragraph" w:styleId="berschrift2">
    <w:name w:val="heading 2"/>
    <w:basedOn w:val="Standard"/>
    <w:next w:val="Standard"/>
    <w:link w:val="berschrift2Zchn"/>
    <w:uiPriority w:val="9"/>
    <w:semiHidden/>
    <w:unhideWhenUsed/>
    <w:rsid w:val="00DB5531"/>
    <w:pPr>
      <w:keepNext/>
      <w:keepLines/>
      <w:spacing w:before="40"/>
      <w:outlineLvl w:val="1"/>
    </w:pPr>
    <w:rPr>
      <w:rFonts w:asciiTheme="majorHAnsi" w:eastAsiaTheme="majorEastAsia" w:hAnsiTheme="majorHAnsi" w:cstheme="majorBidi"/>
      <w:color w:val="A9040E" w:themeColor="accent1" w:themeShade="BF"/>
      <w:sz w:val="26"/>
      <w:szCs w:val="26"/>
    </w:rPr>
  </w:style>
  <w:style w:type="paragraph" w:styleId="berschrift3">
    <w:name w:val="heading 3"/>
    <w:basedOn w:val="Standard"/>
    <w:next w:val="Standard"/>
    <w:link w:val="berschrift3Zchn"/>
    <w:uiPriority w:val="9"/>
    <w:semiHidden/>
    <w:unhideWhenUsed/>
    <w:qFormat/>
    <w:rsid w:val="0016531B"/>
    <w:pPr>
      <w:keepNext/>
      <w:keepLines/>
      <w:spacing w:before="40"/>
      <w:outlineLvl w:val="2"/>
    </w:pPr>
    <w:rPr>
      <w:rFonts w:asciiTheme="majorHAnsi" w:eastAsiaTheme="majorEastAsia" w:hAnsiTheme="majorHAnsi" w:cstheme="majorBidi"/>
      <w:color w:val="710309" w:themeColor="accent1" w:themeShade="7F"/>
      <w:sz w:val="24"/>
      <w:szCs w:val="24"/>
    </w:rPr>
  </w:style>
  <w:style w:type="paragraph" w:styleId="berschrift4">
    <w:name w:val="heading 4"/>
    <w:basedOn w:val="Standard"/>
    <w:next w:val="Standard"/>
    <w:link w:val="berschrift4Zchn"/>
    <w:uiPriority w:val="9"/>
    <w:semiHidden/>
    <w:unhideWhenUsed/>
    <w:qFormat/>
    <w:rsid w:val="00C606DB"/>
    <w:pPr>
      <w:keepNext/>
      <w:keepLines/>
      <w:spacing w:before="40"/>
      <w:outlineLvl w:val="3"/>
    </w:pPr>
    <w:rPr>
      <w:rFonts w:asciiTheme="majorHAnsi" w:eastAsiaTheme="majorEastAsia" w:hAnsiTheme="majorHAnsi" w:cstheme="majorBidi"/>
      <w:i/>
      <w:iCs/>
      <w:color w:val="A9040E"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C2584E"/>
    <w:pPr>
      <w:tabs>
        <w:tab w:val="left" w:pos="8007"/>
      </w:tabs>
      <w:spacing w:line="200" w:lineRule="atLeast"/>
      <w:ind w:right="-1589"/>
    </w:pPr>
    <w:rPr>
      <w:rFonts w:ascii="UnitOT dbhMedi" w:hAnsi="UnitOT dbhMedi"/>
      <w:caps/>
      <w:color w:val="878787" w:themeColor="accent2"/>
      <w:sz w:val="21"/>
      <w14:numForm w14:val="lining"/>
    </w:rPr>
  </w:style>
  <w:style w:type="character" w:customStyle="1" w:styleId="KopfzeileZchn">
    <w:name w:val="Kopfzeile Zchn"/>
    <w:basedOn w:val="Absatz-Standardschriftart"/>
    <w:link w:val="Kopfzeile"/>
    <w:uiPriority w:val="99"/>
    <w:rsid w:val="00C2584E"/>
    <w:rPr>
      <w:rFonts w:ascii="UnitOT dbhMedi" w:hAnsi="UnitOT dbhMedi"/>
      <w:caps/>
      <w:color w:val="878787" w:themeColor="accent2"/>
      <w:sz w:val="21"/>
      <w14:numForm w14:val="lining"/>
    </w:rPr>
  </w:style>
  <w:style w:type="paragraph" w:styleId="Fuzeile">
    <w:name w:val="footer"/>
    <w:basedOn w:val="Standard"/>
    <w:link w:val="FuzeileZchn"/>
    <w:uiPriority w:val="99"/>
    <w:unhideWhenUsed/>
    <w:rsid w:val="002971FE"/>
    <w:pPr>
      <w:tabs>
        <w:tab w:val="center" w:pos="4536"/>
        <w:tab w:val="right" w:pos="9072"/>
      </w:tabs>
      <w:spacing w:line="240" w:lineRule="auto"/>
    </w:pPr>
  </w:style>
  <w:style w:type="character" w:customStyle="1" w:styleId="FuzeileZchn">
    <w:name w:val="Fußzeile Zchn"/>
    <w:basedOn w:val="Absatz-Standardschriftart"/>
    <w:link w:val="Fuzeile"/>
    <w:uiPriority w:val="99"/>
    <w:rsid w:val="002971FE"/>
  </w:style>
  <w:style w:type="paragraph" w:styleId="Listenabsatz">
    <w:name w:val="List Paragraph"/>
    <w:basedOn w:val="Standard"/>
    <w:uiPriority w:val="34"/>
    <w:qFormat/>
    <w:rsid w:val="00C63840"/>
    <w:pPr>
      <w:ind w:left="720"/>
      <w:contextualSpacing/>
    </w:pPr>
  </w:style>
  <w:style w:type="table" w:styleId="Tabellenraster">
    <w:name w:val="Table Grid"/>
    <w:basedOn w:val="NormaleTabelle"/>
    <w:uiPriority w:val="59"/>
    <w:rsid w:val="00F049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Listenabsatz"/>
    <w:qFormat/>
    <w:rsid w:val="00C63840"/>
    <w:pPr>
      <w:numPr>
        <w:numId w:val="1"/>
      </w:numPr>
    </w:pPr>
    <w:rPr>
      <w:rFonts w:hAnsiTheme="minorHAnsi" w:cstheme="minorHAnsi"/>
    </w:rPr>
  </w:style>
  <w:style w:type="paragraph" w:styleId="Titel">
    <w:name w:val="Title"/>
    <w:basedOn w:val="Standard"/>
    <w:link w:val="TitelZchn"/>
    <w:uiPriority w:val="10"/>
    <w:qFormat/>
    <w:rsid w:val="00546BE3"/>
    <w:pPr>
      <w:spacing w:line="720" w:lineRule="exact"/>
      <w:ind w:right="-739"/>
    </w:pPr>
    <w:rPr>
      <w:rFonts w:asciiTheme="majorHAnsi" w:hAnsiTheme="majorHAnsi" w:cs="UnitOT dbhMedi"/>
      <w:caps/>
      <w:color w:val="878787" w:themeColor="accent2"/>
      <w:sz w:val="70"/>
      <w:szCs w:val="70"/>
    </w:rPr>
  </w:style>
  <w:style w:type="character" w:customStyle="1" w:styleId="TitelZchn">
    <w:name w:val="Titel Zchn"/>
    <w:basedOn w:val="Absatz-Standardschriftart"/>
    <w:link w:val="Titel"/>
    <w:uiPriority w:val="10"/>
    <w:rsid w:val="00546BE3"/>
    <w:rPr>
      <w:rFonts w:asciiTheme="majorHAnsi" w:hAnsiTheme="majorHAnsi" w:cs="UnitOT dbhMedi"/>
      <w:caps/>
      <w:color w:val="878787" w:themeColor="accent2"/>
      <w:sz w:val="70"/>
      <w:szCs w:val="70"/>
    </w:rPr>
  </w:style>
  <w:style w:type="paragraph" w:styleId="Sprechblasentext">
    <w:name w:val="Balloon Text"/>
    <w:basedOn w:val="Standard"/>
    <w:link w:val="SprechblasentextZchn"/>
    <w:uiPriority w:val="99"/>
    <w:semiHidden/>
    <w:unhideWhenUsed/>
    <w:rsid w:val="00280ADD"/>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80ADD"/>
    <w:rPr>
      <w:rFonts w:ascii="Tahoma" w:hAnsi="Tahoma" w:cs="Tahoma"/>
      <w:sz w:val="16"/>
      <w:szCs w:val="16"/>
    </w:rPr>
  </w:style>
  <w:style w:type="paragraph" w:customStyle="1" w:styleId="Dachzeile">
    <w:name w:val="Dachzeile"/>
    <w:basedOn w:val="Standard"/>
    <w:qFormat/>
    <w:rsid w:val="00546BE3"/>
    <w:pPr>
      <w:spacing w:after="140"/>
    </w:pPr>
    <w:rPr>
      <w:rFonts w:asciiTheme="majorHAnsi" w:hAnsiTheme="majorHAnsi" w:cs="UnitOT dbhMedi"/>
      <w:caps/>
      <w:color w:val="E30613" w:themeColor="accent1"/>
      <w:sz w:val="21"/>
      <w:szCs w:val="21"/>
    </w:rPr>
  </w:style>
  <w:style w:type="paragraph" w:styleId="Untertitel">
    <w:name w:val="Subtitle"/>
    <w:basedOn w:val="Standard"/>
    <w:link w:val="UntertitelZchn"/>
    <w:uiPriority w:val="11"/>
    <w:qFormat/>
    <w:rsid w:val="00546BE3"/>
    <w:pPr>
      <w:spacing w:before="80" w:after="480"/>
    </w:pPr>
    <w:rPr>
      <w:rFonts w:asciiTheme="majorHAnsi" w:hAnsiTheme="majorHAnsi" w:cs="UnitOT dbhMedi"/>
      <w:caps/>
      <w:color w:val="E30613" w:themeColor="accent1"/>
      <w:sz w:val="42"/>
      <w:szCs w:val="42"/>
    </w:rPr>
  </w:style>
  <w:style w:type="character" w:customStyle="1" w:styleId="UntertitelZchn">
    <w:name w:val="Untertitel Zchn"/>
    <w:basedOn w:val="Absatz-Standardschriftart"/>
    <w:link w:val="Untertitel"/>
    <w:uiPriority w:val="11"/>
    <w:rsid w:val="00546BE3"/>
    <w:rPr>
      <w:rFonts w:asciiTheme="majorHAnsi" w:hAnsiTheme="majorHAnsi" w:cs="UnitOT dbhMedi"/>
      <w:caps/>
      <w:color w:val="E30613" w:themeColor="accent1"/>
      <w:sz w:val="42"/>
      <w:szCs w:val="42"/>
    </w:rPr>
  </w:style>
  <w:style w:type="character" w:customStyle="1" w:styleId="berschrift1Zchn">
    <w:name w:val="Überschrift 1 Zchn"/>
    <w:basedOn w:val="Absatz-Standardschriftart"/>
    <w:link w:val="berschrift1"/>
    <w:uiPriority w:val="9"/>
    <w:rsid w:val="00546BE3"/>
    <w:rPr>
      <w:rFonts w:asciiTheme="majorHAnsi" w:hAnsiTheme="majorHAnsi" w:cstheme="majorHAnsi"/>
      <w:caps/>
      <w:color w:val="E30613" w:themeColor="accent1"/>
      <w:sz w:val="21"/>
      <w:szCs w:val="21"/>
    </w:rPr>
  </w:style>
  <w:style w:type="character" w:customStyle="1" w:styleId="berschrift3Zchn">
    <w:name w:val="Überschrift 3 Zchn"/>
    <w:basedOn w:val="Absatz-Standardschriftart"/>
    <w:link w:val="berschrift3"/>
    <w:uiPriority w:val="9"/>
    <w:semiHidden/>
    <w:rsid w:val="0016531B"/>
    <w:rPr>
      <w:rFonts w:asciiTheme="majorHAnsi" w:eastAsiaTheme="majorEastAsia" w:hAnsiTheme="majorHAnsi" w:cstheme="majorBidi"/>
      <w:color w:val="710309" w:themeColor="accent1" w:themeShade="7F"/>
      <w:sz w:val="24"/>
      <w:szCs w:val="24"/>
    </w:rPr>
  </w:style>
  <w:style w:type="character" w:styleId="Fett">
    <w:name w:val="Strong"/>
    <w:basedOn w:val="Absatz-Standardschriftart"/>
    <w:uiPriority w:val="22"/>
    <w:qFormat/>
    <w:rsid w:val="0016531B"/>
    <w:rPr>
      <w:b/>
      <w:bCs/>
    </w:rPr>
  </w:style>
  <w:style w:type="paragraph" w:styleId="StandardWeb">
    <w:name w:val="Normal (Web)"/>
    <w:basedOn w:val="Standard"/>
    <w:uiPriority w:val="99"/>
    <w:unhideWhenUsed/>
    <w:rsid w:val="0016531B"/>
    <w:pPr>
      <w:spacing w:before="100" w:beforeAutospacing="1" w:after="100" w:afterAutospacing="1" w:line="240" w:lineRule="auto"/>
    </w:pPr>
    <w:rPr>
      <w:rFonts w:ascii="Times New Roman"/>
      <w:sz w:val="24"/>
      <w:szCs w:val="24"/>
    </w:rPr>
  </w:style>
  <w:style w:type="character" w:styleId="Hyperlink">
    <w:name w:val="Hyperlink"/>
    <w:basedOn w:val="Absatz-Standardschriftart"/>
    <w:uiPriority w:val="99"/>
    <w:unhideWhenUsed/>
    <w:rsid w:val="005D4233"/>
    <w:rPr>
      <w:color w:val="000000" w:themeColor="hyperlink"/>
      <w:u w:val="single"/>
    </w:rPr>
  </w:style>
  <w:style w:type="character" w:styleId="BesuchterLink">
    <w:name w:val="FollowedHyperlink"/>
    <w:basedOn w:val="Absatz-Standardschriftart"/>
    <w:uiPriority w:val="99"/>
    <w:semiHidden/>
    <w:unhideWhenUsed/>
    <w:rsid w:val="00425724"/>
    <w:rPr>
      <w:color w:val="000000" w:themeColor="followedHyperlink"/>
      <w:u w:val="single"/>
    </w:rPr>
  </w:style>
  <w:style w:type="character" w:customStyle="1" w:styleId="berschrift2Zchn">
    <w:name w:val="Überschrift 2 Zchn"/>
    <w:basedOn w:val="Absatz-Standardschriftart"/>
    <w:link w:val="berschrift2"/>
    <w:uiPriority w:val="9"/>
    <w:semiHidden/>
    <w:rsid w:val="00DB5531"/>
    <w:rPr>
      <w:rFonts w:asciiTheme="majorHAnsi" w:eastAsiaTheme="majorEastAsia" w:hAnsiTheme="majorHAnsi" w:cstheme="majorBidi"/>
      <w:color w:val="A9040E" w:themeColor="accent1" w:themeShade="BF"/>
      <w:sz w:val="26"/>
      <w:szCs w:val="26"/>
    </w:rPr>
  </w:style>
  <w:style w:type="paragraph" w:styleId="HTMLVorformatiert">
    <w:name w:val="HTML Preformatted"/>
    <w:basedOn w:val="Standard"/>
    <w:link w:val="HTMLVorformatiertZchn"/>
    <w:uiPriority w:val="99"/>
    <w:semiHidden/>
    <w:unhideWhenUsed/>
    <w:rsid w:val="004622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sz w:val="20"/>
      <w:szCs w:val="20"/>
    </w:rPr>
  </w:style>
  <w:style w:type="character" w:customStyle="1" w:styleId="HTMLVorformatiertZchn">
    <w:name w:val="HTML Vorformatiert Zchn"/>
    <w:basedOn w:val="Absatz-Standardschriftart"/>
    <w:link w:val="HTMLVorformatiert"/>
    <w:uiPriority w:val="99"/>
    <w:semiHidden/>
    <w:rsid w:val="0046221E"/>
    <w:rPr>
      <w:rFonts w:ascii="Courier New" w:hAnsi="Courier New" w:cs="Courier New"/>
      <w:sz w:val="20"/>
      <w:szCs w:val="20"/>
    </w:rPr>
  </w:style>
  <w:style w:type="character" w:styleId="Kommentarzeichen">
    <w:name w:val="annotation reference"/>
    <w:basedOn w:val="Absatz-Standardschriftart"/>
    <w:uiPriority w:val="99"/>
    <w:semiHidden/>
    <w:unhideWhenUsed/>
    <w:rsid w:val="007B5B10"/>
    <w:rPr>
      <w:sz w:val="16"/>
      <w:szCs w:val="16"/>
    </w:rPr>
  </w:style>
  <w:style w:type="paragraph" w:styleId="Kommentartext">
    <w:name w:val="annotation text"/>
    <w:basedOn w:val="Standard"/>
    <w:link w:val="KommentartextZchn"/>
    <w:uiPriority w:val="99"/>
    <w:semiHidden/>
    <w:unhideWhenUsed/>
    <w:rsid w:val="007B5B10"/>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7B5B10"/>
    <w:rPr>
      <w:sz w:val="20"/>
      <w:szCs w:val="20"/>
    </w:rPr>
  </w:style>
  <w:style w:type="paragraph" w:styleId="Kommentarthema">
    <w:name w:val="annotation subject"/>
    <w:basedOn w:val="Kommentartext"/>
    <w:next w:val="Kommentartext"/>
    <w:link w:val="KommentarthemaZchn"/>
    <w:uiPriority w:val="99"/>
    <w:semiHidden/>
    <w:unhideWhenUsed/>
    <w:rsid w:val="007B5B10"/>
    <w:rPr>
      <w:b/>
      <w:bCs/>
    </w:rPr>
  </w:style>
  <w:style w:type="character" w:customStyle="1" w:styleId="KommentarthemaZchn">
    <w:name w:val="Kommentarthema Zchn"/>
    <w:basedOn w:val="KommentartextZchn"/>
    <w:link w:val="Kommentarthema"/>
    <w:uiPriority w:val="99"/>
    <w:semiHidden/>
    <w:rsid w:val="007B5B10"/>
    <w:rPr>
      <w:b/>
      <w:bCs/>
      <w:sz w:val="20"/>
      <w:szCs w:val="20"/>
    </w:rPr>
  </w:style>
  <w:style w:type="character" w:customStyle="1" w:styleId="UnresolvedMention">
    <w:name w:val="Unresolved Mention"/>
    <w:basedOn w:val="Absatz-Standardschriftart"/>
    <w:uiPriority w:val="99"/>
    <w:semiHidden/>
    <w:unhideWhenUsed/>
    <w:rsid w:val="00E72761"/>
    <w:rPr>
      <w:color w:val="605E5C"/>
      <w:shd w:val="clear" w:color="auto" w:fill="E1DFDD"/>
    </w:rPr>
  </w:style>
  <w:style w:type="paragraph" w:customStyle="1" w:styleId="Default">
    <w:name w:val="Default"/>
    <w:rsid w:val="006B7563"/>
    <w:pPr>
      <w:autoSpaceDE w:val="0"/>
      <w:autoSpaceDN w:val="0"/>
      <w:adjustRightInd w:val="0"/>
      <w:spacing w:after="0" w:line="240" w:lineRule="auto"/>
    </w:pPr>
    <w:rPr>
      <w:rFonts w:ascii="BundesSans Office" w:hAnsi="BundesSans Office" w:cs="BundesSans Office"/>
      <w:color w:val="000000"/>
      <w:sz w:val="24"/>
      <w:szCs w:val="24"/>
    </w:rPr>
  </w:style>
  <w:style w:type="character" w:customStyle="1" w:styleId="berschrift4Zchn">
    <w:name w:val="Überschrift 4 Zchn"/>
    <w:basedOn w:val="Absatz-Standardschriftart"/>
    <w:link w:val="berschrift4"/>
    <w:uiPriority w:val="9"/>
    <w:semiHidden/>
    <w:rsid w:val="00C606DB"/>
    <w:rPr>
      <w:rFonts w:asciiTheme="majorHAnsi" w:eastAsiaTheme="majorEastAsia" w:hAnsiTheme="majorHAnsi" w:cstheme="majorBidi"/>
      <w:i/>
      <w:iCs/>
      <w:color w:val="A9040E" w:themeColor="accent1" w:themeShade="BF"/>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254210">
      <w:bodyDiv w:val="1"/>
      <w:marLeft w:val="0"/>
      <w:marRight w:val="0"/>
      <w:marTop w:val="0"/>
      <w:marBottom w:val="0"/>
      <w:divBdr>
        <w:top w:val="none" w:sz="0" w:space="0" w:color="auto"/>
        <w:left w:val="none" w:sz="0" w:space="0" w:color="auto"/>
        <w:bottom w:val="none" w:sz="0" w:space="0" w:color="auto"/>
        <w:right w:val="none" w:sz="0" w:space="0" w:color="auto"/>
      </w:divBdr>
    </w:div>
    <w:div w:id="107624274">
      <w:bodyDiv w:val="1"/>
      <w:marLeft w:val="0"/>
      <w:marRight w:val="0"/>
      <w:marTop w:val="0"/>
      <w:marBottom w:val="0"/>
      <w:divBdr>
        <w:top w:val="none" w:sz="0" w:space="0" w:color="auto"/>
        <w:left w:val="none" w:sz="0" w:space="0" w:color="auto"/>
        <w:bottom w:val="none" w:sz="0" w:space="0" w:color="auto"/>
        <w:right w:val="none" w:sz="0" w:space="0" w:color="auto"/>
      </w:divBdr>
    </w:div>
    <w:div w:id="133646868">
      <w:bodyDiv w:val="1"/>
      <w:marLeft w:val="0"/>
      <w:marRight w:val="0"/>
      <w:marTop w:val="0"/>
      <w:marBottom w:val="0"/>
      <w:divBdr>
        <w:top w:val="none" w:sz="0" w:space="0" w:color="auto"/>
        <w:left w:val="none" w:sz="0" w:space="0" w:color="auto"/>
        <w:bottom w:val="none" w:sz="0" w:space="0" w:color="auto"/>
        <w:right w:val="none" w:sz="0" w:space="0" w:color="auto"/>
      </w:divBdr>
    </w:div>
    <w:div w:id="437408817">
      <w:bodyDiv w:val="1"/>
      <w:marLeft w:val="0"/>
      <w:marRight w:val="0"/>
      <w:marTop w:val="0"/>
      <w:marBottom w:val="0"/>
      <w:divBdr>
        <w:top w:val="none" w:sz="0" w:space="0" w:color="auto"/>
        <w:left w:val="none" w:sz="0" w:space="0" w:color="auto"/>
        <w:bottom w:val="none" w:sz="0" w:space="0" w:color="auto"/>
        <w:right w:val="none" w:sz="0" w:space="0" w:color="auto"/>
      </w:divBdr>
    </w:div>
    <w:div w:id="476578219">
      <w:bodyDiv w:val="1"/>
      <w:marLeft w:val="0"/>
      <w:marRight w:val="0"/>
      <w:marTop w:val="0"/>
      <w:marBottom w:val="0"/>
      <w:divBdr>
        <w:top w:val="none" w:sz="0" w:space="0" w:color="auto"/>
        <w:left w:val="none" w:sz="0" w:space="0" w:color="auto"/>
        <w:bottom w:val="none" w:sz="0" w:space="0" w:color="auto"/>
        <w:right w:val="none" w:sz="0" w:space="0" w:color="auto"/>
      </w:divBdr>
    </w:div>
    <w:div w:id="496070663">
      <w:bodyDiv w:val="1"/>
      <w:marLeft w:val="0"/>
      <w:marRight w:val="0"/>
      <w:marTop w:val="0"/>
      <w:marBottom w:val="0"/>
      <w:divBdr>
        <w:top w:val="none" w:sz="0" w:space="0" w:color="auto"/>
        <w:left w:val="none" w:sz="0" w:space="0" w:color="auto"/>
        <w:bottom w:val="none" w:sz="0" w:space="0" w:color="auto"/>
        <w:right w:val="none" w:sz="0" w:space="0" w:color="auto"/>
      </w:divBdr>
    </w:div>
    <w:div w:id="533691782">
      <w:bodyDiv w:val="1"/>
      <w:marLeft w:val="0"/>
      <w:marRight w:val="0"/>
      <w:marTop w:val="0"/>
      <w:marBottom w:val="0"/>
      <w:divBdr>
        <w:top w:val="none" w:sz="0" w:space="0" w:color="auto"/>
        <w:left w:val="none" w:sz="0" w:space="0" w:color="auto"/>
        <w:bottom w:val="none" w:sz="0" w:space="0" w:color="auto"/>
        <w:right w:val="none" w:sz="0" w:space="0" w:color="auto"/>
      </w:divBdr>
      <w:divsChild>
        <w:div w:id="2038385167">
          <w:marLeft w:val="0"/>
          <w:marRight w:val="0"/>
          <w:marTop w:val="0"/>
          <w:marBottom w:val="0"/>
          <w:divBdr>
            <w:top w:val="none" w:sz="0" w:space="0" w:color="auto"/>
            <w:left w:val="none" w:sz="0" w:space="0" w:color="auto"/>
            <w:bottom w:val="none" w:sz="0" w:space="0" w:color="auto"/>
            <w:right w:val="none" w:sz="0" w:space="0" w:color="auto"/>
          </w:divBdr>
        </w:div>
        <w:div w:id="932665970">
          <w:marLeft w:val="0"/>
          <w:marRight w:val="0"/>
          <w:marTop w:val="0"/>
          <w:marBottom w:val="0"/>
          <w:divBdr>
            <w:top w:val="none" w:sz="0" w:space="0" w:color="auto"/>
            <w:left w:val="none" w:sz="0" w:space="0" w:color="auto"/>
            <w:bottom w:val="none" w:sz="0" w:space="0" w:color="auto"/>
            <w:right w:val="none" w:sz="0" w:space="0" w:color="auto"/>
          </w:divBdr>
        </w:div>
        <w:div w:id="6181372">
          <w:marLeft w:val="0"/>
          <w:marRight w:val="0"/>
          <w:marTop w:val="0"/>
          <w:marBottom w:val="525"/>
          <w:divBdr>
            <w:top w:val="none" w:sz="0" w:space="0" w:color="auto"/>
            <w:left w:val="none" w:sz="0" w:space="0" w:color="auto"/>
            <w:bottom w:val="none" w:sz="0" w:space="0" w:color="auto"/>
            <w:right w:val="none" w:sz="0" w:space="0" w:color="auto"/>
          </w:divBdr>
          <w:divsChild>
            <w:div w:id="2031637380">
              <w:marLeft w:val="0"/>
              <w:marRight w:val="0"/>
              <w:marTop w:val="0"/>
              <w:marBottom w:val="0"/>
              <w:divBdr>
                <w:top w:val="none" w:sz="0" w:space="0" w:color="auto"/>
                <w:left w:val="none" w:sz="0" w:space="0" w:color="auto"/>
                <w:bottom w:val="none" w:sz="0" w:space="0" w:color="auto"/>
                <w:right w:val="none" w:sz="0" w:space="0" w:color="auto"/>
              </w:divBdr>
            </w:div>
          </w:divsChild>
        </w:div>
        <w:div w:id="1054815140">
          <w:marLeft w:val="0"/>
          <w:marRight w:val="0"/>
          <w:marTop w:val="0"/>
          <w:marBottom w:val="0"/>
          <w:divBdr>
            <w:top w:val="none" w:sz="0" w:space="0" w:color="auto"/>
            <w:left w:val="none" w:sz="0" w:space="0" w:color="auto"/>
            <w:bottom w:val="none" w:sz="0" w:space="0" w:color="auto"/>
            <w:right w:val="none" w:sz="0" w:space="0" w:color="auto"/>
          </w:divBdr>
        </w:div>
      </w:divsChild>
    </w:div>
    <w:div w:id="618535594">
      <w:bodyDiv w:val="1"/>
      <w:marLeft w:val="0"/>
      <w:marRight w:val="0"/>
      <w:marTop w:val="0"/>
      <w:marBottom w:val="0"/>
      <w:divBdr>
        <w:top w:val="none" w:sz="0" w:space="0" w:color="auto"/>
        <w:left w:val="none" w:sz="0" w:space="0" w:color="auto"/>
        <w:bottom w:val="none" w:sz="0" w:space="0" w:color="auto"/>
        <w:right w:val="none" w:sz="0" w:space="0" w:color="auto"/>
      </w:divBdr>
      <w:divsChild>
        <w:div w:id="2109545258">
          <w:marLeft w:val="0"/>
          <w:marRight w:val="0"/>
          <w:marTop w:val="0"/>
          <w:marBottom w:val="0"/>
          <w:divBdr>
            <w:top w:val="none" w:sz="0" w:space="0" w:color="auto"/>
            <w:left w:val="none" w:sz="0" w:space="0" w:color="auto"/>
            <w:bottom w:val="none" w:sz="0" w:space="0" w:color="auto"/>
            <w:right w:val="none" w:sz="0" w:space="0" w:color="auto"/>
          </w:divBdr>
          <w:divsChild>
            <w:div w:id="853615712">
              <w:marLeft w:val="0"/>
              <w:marRight w:val="0"/>
              <w:marTop w:val="0"/>
              <w:marBottom w:val="0"/>
              <w:divBdr>
                <w:top w:val="none" w:sz="0" w:space="0" w:color="auto"/>
                <w:left w:val="none" w:sz="0" w:space="0" w:color="auto"/>
                <w:bottom w:val="none" w:sz="0" w:space="0" w:color="auto"/>
                <w:right w:val="none" w:sz="0" w:space="0" w:color="auto"/>
              </w:divBdr>
              <w:divsChild>
                <w:div w:id="2067558035">
                  <w:marLeft w:val="0"/>
                  <w:marRight w:val="0"/>
                  <w:marTop w:val="0"/>
                  <w:marBottom w:val="0"/>
                  <w:divBdr>
                    <w:top w:val="none" w:sz="0" w:space="0" w:color="auto"/>
                    <w:left w:val="none" w:sz="0" w:space="0" w:color="auto"/>
                    <w:bottom w:val="none" w:sz="0" w:space="0" w:color="auto"/>
                    <w:right w:val="none" w:sz="0" w:space="0" w:color="auto"/>
                  </w:divBdr>
                  <w:divsChild>
                    <w:div w:id="918296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277541">
          <w:marLeft w:val="0"/>
          <w:marRight w:val="0"/>
          <w:marTop w:val="0"/>
          <w:marBottom w:val="0"/>
          <w:divBdr>
            <w:top w:val="none" w:sz="0" w:space="0" w:color="auto"/>
            <w:left w:val="none" w:sz="0" w:space="0" w:color="auto"/>
            <w:bottom w:val="none" w:sz="0" w:space="0" w:color="auto"/>
            <w:right w:val="none" w:sz="0" w:space="0" w:color="auto"/>
          </w:divBdr>
          <w:divsChild>
            <w:div w:id="922838460">
              <w:marLeft w:val="0"/>
              <w:marRight w:val="0"/>
              <w:marTop w:val="0"/>
              <w:marBottom w:val="0"/>
              <w:divBdr>
                <w:top w:val="none" w:sz="0" w:space="0" w:color="auto"/>
                <w:left w:val="none" w:sz="0" w:space="0" w:color="auto"/>
                <w:bottom w:val="none" w:sz="0" w:space="0" w:color="auto"/>
                <w:right w:val="none" w:sz="0" w:space="0" w:color="auto"/>
              </w:divBdr>
              <w:divsChild>
                <w:div w:id="918296742">
                  <w:marLeft w:val="0"/>
                  <w:marRight w:val="0"/>
                  <w:marTop w:val="0"/>
                  <w:marBottom w:val="0"/>
                  <w:divBdr>
                    <w:top w:val="none" w:sz="0" w:space="0" w:color="auto"/>
                    <w:left w:val="none" w:sz="0" w:space="0" w:color="auto"/>
                    <w:bottom w:val="none" w:sz="0" w:space="0" w:color="auto"/>
                    <w:right w:val="none" w:sz="0" w:space="0" w:color="auto"/>
                  </w:divBdr>
                  <w:divsChild>
                    <w:div w:id="836531318">
                      <w:marLeft w:val="300"/>
                      <w:marRight w:val="0"/>
                      <w:marTop w:val="0"/>
                      <w:marBottom w:val="300"/>
                      <w:divBdr>
                        <w:top w:val="none" w:sz="0" w:space="0" w:color="auto"/>
                        <w:left w:val="none" w:sz="0" w:space="0" w:color="auto"/>
                        <w:bottom w:val="none" w:sz="0" w:space="0" w:color="auto"/>
                        <w:right w:val="none" w:sz="0" w:space="0" w:color="auto"/>
                      </w:divBdr>
                      <w:divsChild>
                        <w:div w:id="1497266499">
                          <w:marLeft w:val="0"/>
                          <w:marRight w:val="0"/>
                          <w:marTop w:val="0"/>
                          <w:marBottom w:val="0"/>
                          <w:divBdr>
                            <w:top w:val="none" w:sz="0" w:space="0" w:color="auto"/>
                            <w:left w:val="none" w:sz="0" w:space="0" w:color="auto"/>
                            <w:bottom w:val="none" w:sz="0" w:space="0" w:color="auto"/>
                            <w:right w:val="none" w:sz="0" w:space="0" w:color="auto"/>
                          </w:divBdr>
                          <w:divsChild>
                            <w:div w:id="242181449">
                              <w:marLeft w:val="0"/>
                              <w:marRight w:val="0"/>
                              <w:marTop w:val="0"/>
                              <w:marBottom w:val="0"/>
                              <w:divBdr>
                                <w:top w:val="none" w:sz="0" w:space="0" w:color="auto"/>
                                <w:left w:val="none" w:sz="0" w:space="0" w:color="auto"/>
                                <w:bottom w:val="none" w:sz="0" w:space="0" w:color="auto"/>
                                <w:right w:val="none" w:sz="0" w:space="0" w:color="auto"/>
                              </w:divBdr>
                              <w:divsChild>
                                <w:div w:id="638152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216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9544459">
      <w:bodyDiv w:val="1"/>
      <w:marLeft w:val="0"/>
      <w:marRight w:val="0"/>
      <w:marTop w:val="0"/>
      <w:marBottom w:val="0"/>
      <w:divBdr>
        <w:top w:val="none" w:sz="0" w:space="0" w:color="auto"/>
        <w:left w:val="none" w:sz="0" w:space="0" w:color="auto"/>
        <w:bottom w:val="none" w:sz="0" w:space="0" w:color="auto"/>
        <w:right w:val="none" w:sz="0" w:space="0" w:color="auto"/>
      </w:divBdr>
    </w:div>
    <w:div w:id="787241014">
      <w:bodyDiv w:val="1"/>
      <w:marLeft w:val="0"/>
      <w:marRight w:val="0"/>
      <w:marTop w:val="0"/>
      <w:marBottom w:val="0"/>
      <w:divBdr>
        <w:top w:val="none" w:sz="0" w:space="0" w:color="auto"/>
        <w:left w:val="none" w:sz="0" w:space="0" w:color="auto"/>
        <w:bottom w:val="none" w:sz="0" w:space="0" w:color="auto"/>
        <w:right w:val="none" w:sz="0" w:space="0" w:color="auto"/>
      </w:divBdr>
    </w:div>
    <w:div w:id="906459745">
      <w:bodyDiv w:val="1"/>
      <w:marLeft w:val="0"/>
      <w:marRight w:val="0"/>
      <w:marTop w:val="0"/>
      <w:marBottom w:val="0"/>
      <w:divBdr>
        <w:top w:val="none" w:sz="0" w:space="0" w:color="auto"/>
        <w:left w:val="none" w:sz="0" w:space="0" w:color="auto"/>
        <w:bottom w:val="none" w:sz="0" w:space="0" w:color="auto"/>
        <w:right w:val="none" w:sz="0" w:space="0" w:color="auto"/>
      </w:divBdr>
    </w:div>
    <w:div w:id="942343912">
      <w:bodyDiv w:val="1"/>
      <w:marLeft w:val="0"/>
      <w:marRight w:val="0"/>
      <w:marTop w:val="0"/>
      <w:marBottom w:val="0"/>
      <w:divBdr>
        <w:top w:val="none" w:sz="0" w:space="0" w:color="auto"/>
        <w:left w:val="none" w:sz="0" w:space="0" w:color="auto"/>
        <w:bottom w:val="none" w:sz="0" w:space="0" w:color="auto"/>
        <w:right w:val="none" w:sz="0" w:space="0" w:color="auto"/>
      </w:divBdr>
    </w:div>
    <w:div w:id="979312414">
      <w:bodyDiv w:val="1"/>
      <w:marLeft w:val="0"/>
      <w:marRight w:val="0"/>
      <w:marTop w:val="0"/>
      <w:marBottom w:val="0"/>
      <w:divBdr>
        <w:top w:val="none" w:sz="0" w:space="0" w:color="auto"/>
        <w:left w:val="none" w:sz="0" w:space="0" w:color="auto"/>
        <w:bottom w:val="none" w:sz="0" w:space="0" w:color="auto"/>
        <w:right w:val="none" w:sz="0" w:space="0" w:color="auto"/>
      </w:divBdr>
    </w:div>
    <w:div w:id="1015960066">
      <w:bodyDiv w:val="1"/>
      <w:marLeft w:val="0"/>
      <w:marRight w:val="0"/>
      <w:marTop w:val="0"/>
      <w:marBottom w:val="0"/>
      <w:divBdr>
        <w:top w:val="none" w:sz="0" w:space="0" w:color="auto"/>
        <w:left w:val="none" w:sz="0" w:space="0" w:color="auto"/>
        <w:bottom w:val="none" w:sz="0" w:space="0" w:color="auto"/>
        <w:right w:val="none" w:sz="0" w:space="0" w:color="auto"/>
      </w:divBdr>
      <w:divsChild>
        <w:div w:id="2066641534">
          <w:marLeft w:val="-225"/>
          <w:marRight w:val="-225"/>
          <w:marTop w:val="0"/>
          <w:marBottom w:val="450"/>
          <w:divBdr>
            <w:top w:val="none" w:sz="0" w:space="0" w:color="auto"/>
            <w:left w:val="none" w:sz="0" w:space="0" w:color="auto"/>
            <w:bottom w:val="none" w:sz="0" w:space="0" w:color="auto"/>
            <w:right w:val="none" w:sz="0" w:space="0" w:color="auto"/>
          </w:divBdr>
          <w:divsChild>
            <w:div w:id="973028516">
              <w:marLeft w:val="0"/>
              <w:marRight w:val="0"/>
              <w:marTop w:val="0"/>
              <w:marBottom w:val="0"/>
              <w:divBdr>
                <w:top w:val="none" w:sz="0" w:space="0" w:color="auto"/>
                <w:left w:val="none" w:sz="0" w:space="0" w:color="auto"/>
                <w:bottom w:val="none" w:sz="0" w:space="0" w:color="auto"/>
                <w:right w:val="none" w:sz="0" w:space="0" w:color="auto"/>
              </w:divBdr>
              <w:divsChild>
                <w:div w:id="2109887869">
                  <w:marLeft w:val="0"/>
                  <w:marRight w:val="0"/>
                  <w:marTop w:val="0"/>
                  <w:marBottom w:val="0"/>
                  <w:divBdr>
                    <w:top w:val="none" w:sz="0" w:space="0" w:color="auto"/>
                    <w:left w:val="none" w:sz="0" w:space="0" w:color="auto"/>
                    <w:bottom w:val="none" w:sz="0" w:space="0" w:color="auto"/>
                    <w:right w:val="none" w:sz="0" w:space="0" w:color="auto"/>
                  </w:divBdr>
                  <w:divsChild>
                    <w:div w:id="68159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6197569">
      <w:bodyDiv w:val="1"/>
      <w:marLeft w:val="0"/>
      <w:marRight w:val="0"/>
      <w:marTop w:val="0"/>
      <w:marBottom w:val="0"/>
      <w:divBdr>
        <w:top w:val="none" w:sz="0" w:space="0" w:color="auto"/>
        <w:left w:val="none" w:sz="0" w:space="0" w:color="auto"/>
        <w:bottom w:val="none" w:sz="0" w:space="0" w:color="auto"/>
        <w:right w:val="none" w:sz="0" w:space="0" w:color="auto"/>
      </w:divBdr>
    </w:div>
    <w:div w:id="1066342484">
      <w:bodyDiv w:val="1"/>
      <w:marLeft w:val="0"/>
      <w:marRight w:val="0"/>
      <w:marTop w:val="0"/>
      <w:marBottom w:val="0"/>
      <w:divBdr>
        <w:top w:val="none" w:sz="0" w:space="0" w:color="auto"/>
        <w:left w:val="none" w:sz="0" w:space="0" w:color="auto"/>
        <w:bottom w:val="none" w:sz="0" w:space="0" w:color="auto"/>
        <w:right w:val="none" w:sz="0" w:space="0" w:color="auto"/>
      </w:divBdr>
    </w:div>
    <w:div w:id="1087388397">
      <w:bodyDiv w:val="1"/>
      <w:marLeft w:val="0"/>
      <w:marRight w:val="0"/>
      <w:marTop w:val="0"/>
      <w:marBottom w:val="0"/>
      <w:divBdr>
        <w:top w:val="none" w:sz="0" w:space="0" w:color="auto"/>
        <w:left w:val="none" w:sz="0" w:space="0" w:color="auto"/>
        <w:bottom w:val="none" w:sz="0" w:space="0" w:color="auto"/>
        <w:right w:val="none" w:sz="0" w:space="0" w:color="auto"/>
      </w:divBdr>
    </w:div>
    <w:div w:id="1105344233">
      <w:bodyDiv w:val="1"/>
      <w:marLeft w:val="0"/>
      <w:marRight w:val="0"/>
      <w:marTop w:val="0"/>
      <w:marBottom w:val="0"/>
      <w:divBdr>
        <w:top w:val="none" w:sz="0" w:space="0" w:color="auto"/>
        <w:left w:val="none" w:sz="0" w:space="0" w:color="auto"/>
        <w:bottom w:val="none" w:sz="0" w:space="0" w:color="auto"/>
        <w:right w:val="none" w:sz="0" w:space="0" w:color="auto"/>
      </w:divBdr>
      <w:divsChild>
        <w:div w:id="1374620424">
          <w:marLeft w:val="0"/>
          <w:marRight w:val="0"/>
          <w:marTop w:val="0"/>
          <w:marBottom w:val="0"/>
          <w:divBdr>
            <w:top w:val="none" w:sz="0" w:space="0" w:color="auto"/>
            <w:left w:val="none" w:sz="0" w:space="0" w:color="auto"/>
            <w:bottom w:val="none" w:sz="0" w:space="0" w:color="auto"/>
            <w:right w:val="none" w:sz="0" w:space="0" w:color="auto"/>
          </w:divBdr>
          <w:divsChild>
            <w:div w:id="2044357778">
              <w:marLeft w:val="0"/>
              <w:marRight w:val="0"/>
              <w:marTop w:val="0"/>
              <w:marBottom w:val="0"/>
              <w:divBdr>
                <w:top w:val="none" w:sz="0" w:space="0" w:color="auto"/>
                <w:left w:val="none" w:sz="0" w:space="0" w:color="auto"/>
                <w:bottom w:val="none" w:sz="0" w:space="0" w:color="auto"/>
                <w:right w:val="none" w:sz="0" w:space="0" w:color="auto"/>
              </w:divBdr>
              <w:divsChild>
                <w:div w:id="446393742">
                  <w:marLeft w:val="0"/>
                  <w:marRight w:val="0"/>
                  <w:marTop w:val="0"/>
                  <w:marBottom w:val="0"/>
                  <w:divBdr>
                    <w:top w:val="none" w:sz="0" w:space="0" w:color="auto"/>
                    <w:left w:val="none" w:sz="0" w:space="0" w:color="auto"/>
                    <w:bottom w:val="none" w:sz="0" w:space="0" w:color="auto"/>
                    <w:right w:val="none" w:sz="0" w:space="0" w:color="auto"/>
                  </w:divBdr>
                  <w:divsChild>
                    <w:div w:id="4022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591911">
          <w:marLeft w:val="0"/>
          <w:marRight w:val="0"/>
          <w:marTop w:val="0"/>
          <w:marBottom w:val="0"/>
          <w:divBdr>
            <w:top w:val="none" w:sz="0" w:space="0" w:color="auto"/>
            <w:left w:val="none" w:sz="0" w:space="0" w:color="auto"/>
            <w:bottom w:val="none" w:sz="0" w:space="0" w:color="auto"/>
            <w:right w:val="none" w:sz="0" w:space="0" w:color="auto"/>
          </w:divBdr>
          <w:divsChild>
            <w:div w:id="699742137">
              <w:marLeft w:val="0"/>
              <w:marRight w:val="0"/>
              <w:marTop w:val="0"/>
              <w:marBottom w:val="0"/>
              <w:divBdr>
                <w:top w:val="none" w:sz="0" w:space="0" w:color="auto"/>
                <w:left w:val="none" w:sz="0" w:space="0" w:color="auto"/>
                <w:bottom w:val="none" w:sz="0" w:space="0" w:color="auto"/>
                <w:right w:val="none" w:sz="0" w:space="0" w:color="auto"/>
              </w:divBdr>
              <w:divsChild>
                <w:div w:id="1836530186">
                  <w:marLeft w:val="0"/>
                  <w:marRight w:val="0"/>
                  <w:marTop w:val="0"/>
                  <w:marBottom w:val="0"/>
                  <w:divBdr>
                    <w:top w:val="none" w:sz="0" w:space="0" w:color="auto"/>
                    <w:left w:val="none" w:sz="0" w:space="0" w:color="auto"/>
                    <w:bottom w:val="none" w:sz="0" w:space="0" w:color="auto"/>
                    <w:right w:val="none" w:sz="0" w:space="0" w:color="auto"/>
                  </w:divBdr>
                  <w:divsChild>
                    <w:div w:id="410548553">
                      <w:marLeft w:val="300"/>
                      <w:marRight w:val="0"/>
                      <w:marTop w:val="0"/>
                      <w:marBottom w:val="300"/>
                      <w:divBdr>
                        <w:top w:val="none" w:sz="0" w:space="0" w:color="auto"/>
                        <w:left w:val="none" w:sz="0" w:space="0" w:color="auto"/>
                        <w:bottom w:val="none" w:sz="0" w:space="0" w:color="auto"/>
                        <w:right w:val="none" w:sz="0" w:space="0" w:color="auto"/>
                      </w:divBdr>
                      <w:divsChild>
                        <w:div w:id="929460543">
                          <w:marLeft w:val="0"/>
                          <w:marRight w:val="0"/>
                          <w:marTop w:val="0"/>
                          <w:marBottom w:val="0"/>
                          <w:divBdr>
                            <w:top w:val="none" w:sz="0" w:space="0" w:color="auto"/>
                            <w:left w:val="none" w:sz="0" w:space="0" w:color="auto"/>
                            <w:bottom w:val="none" w:sz="0" w:space="0" w:color="auto"/>
                            <w:right w:val="none" w:sz="0" w:space="0" w:color="auto"/>
                          </w:divBdr>
                          <w:divsChild>
                            <w:div w:id="583101686">
                              <w:marLeft w:val="0"/>
                              <w:marRight w:val="0"/>
                              <w:marTop w:val="0"/>
                              <w:marBottom w:val="0"/>
                              <w:divBdr>
                                <w:top w:val="none" w:sz="0" w:space="0" w:color="auto"/>
                                <w:left w:val="none" w:sz="0" w:space="0" w:color="auto"/>
                                <w:bottom w:val="none" w:sz="0" w:space="0" w:color="auto"/>
                                <w:right w:val="none" w:sz="0" w:space="0" w:color="auto"/>
                              </w:divBdr>
                              <w:divsChild>
                                <w:div w:id="107971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36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8104096">
      <w:bodyDiv w:val="1"/>
      <w:marLeft w:val="0"/>
      <w:marRight w:val="0"/>
      <w:marTop w:val="0"/>
      <w:marBottom w:val="0"/>
      <w:divBdr>
        <w:top w:val="none" w:sz="0" w:space="0" w:color="auto"/>
        <w:left w:val="none" w:sz="0" w:space="0" w:color="auto"/>
        <w:bottom w:val="none" w:sz="0" w:space="0" w:color="auto"/>
        <w:right w:val="none" w:sz="0" w:space="0" w:color="auto"/>
      </w:divBdr>
    </w:div>
    <w:div w:id="1328287605">
      <w:bodyDiv w:val="1"/>
      <w:marLeft w:val="0"/>
      <w:marRight w:val="0"/>
      <w:marTop w:val="0"/>
      <w:marBottom w:val="0"/>
      <w:divBdr>
        <w:top w:val="none" w:sz="0" w:space="0" w:color="auto"/>
        <w:left w:val="none" w:sz="0" w:space="0" w:color="auto"/>
        <w:bottom w:val="none" w:sz="0" w:space="0" w:color="auto"/>
        <w:right w:val="none" w:sz="0" w:space="0" w:color="auto"/>
      </w:divBdr>
    </w:div>
    <w:div w:id="1670061509">
      <w:bodyDiv w:val="1"/>
      <w:marLeft w:val="0"/>
      <w:marRight w:val="0"/>
      <w:marTop w:val="0"/>
      <w:marBottom w:val="0"/>
      <w:divBdr>
        <w:top w:val="none" w:sz="0" w:space="0" w:color="auto"/>
        <w:left w:val="none" w:sz="0" w:space="0" w:color="auto"/>
        <w:bottom w:val="none" w:sz="0" w:space="0" w:color="auto"/>
        <w:right w:val="none" w:sz="0" w:space="0" w:color="auto"/>
      </w:divBdr>
      <w:divsChild>
        <w:div w:id="1267158720">
          <w:marLeft w:val="0"/>
          <w:marRight w:val="225"/>
          <w:marTop w:val="0"/>
          <w:marBottom w:val="150"/>
          <w:divBdr>
            <w:top w:val="none" w:sz="0" w:space="0" w:color="auto"/>
            <w:left w:val="none" w:sz="0" w:space="0" w:color="auto"/>
            <w:bottom w:val="none" w:sz="0" w:space="0" w:color="auto"/>
            <w:right w:val="none" w:sz="0" w:space="0" w:color="auto"/>
          </w:divBdr>
          <w:divsChild>
            <w:div w:id="220293446">
              <w:marLeft w:val="0"/>
              <w:marRight w:val="0"/>
              <w:marTop w:val="0"/>
              <w:marBottom w:val="0"/>
              <w:divBdr>
                <w:top w:val="none" w:sz="0" w:space="0" w:color="auto"/>
                <w:left w:val="none" w:sz="0" w:space="0" w:color="auto"/>
                <w:bottom w:val="none" w:sz="0" w:space="0" w:color="auto"/>
                <w:right w:val="none" w:sz="0" w:space="0" w:color="auto"/>
              </w:divBdr>
            </w:div>
          </w:divsChild>
        </w:div>
        <w:div w:id="444470716">
          <w:marLeft w:val="225"/>
          <w:marRight w:val="0"/>
          <w:marTop w:val="0"/>
          <w:marBottom w:val="150"/>
          <w:divBdr>
            <w:top w:val="none" w:sz="0" w:space="0" w:color="auto"/>
            <w:left w:val="none" w:sz="0" w:space="0" w:color="auto"/>
            <w:bottom w:val="none" w:sz="0" w:space="0" w:color="auto"/>
            <w:right w:val="none" w:sz="0" w:space="0" w:color="auto"/>
          </w:divBdr>
          <w:divsChild>
            <w:div w:id="89666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099819">
      <w:bodyDiv w:val="1"/>
      <w:marLeft w:val="0"/>
      <w:marRight w:val="0"/>
      <w:marTop w:val="0"/>
      <w:marBottom w:val="0"/>
      <w:divBdr>
        <w:top w:val="none" w:sz="0" w:space="0" w:color="auto"/>
        <w:left w:val="none" w:sz="0" w:space="0" w:color="auto"/>
        <w:bottom w:val="none" w:sz="0" w:space="0" w:color="auto"/>
        <w:right w:val="none" w:sz="0" w:space="0" w:color="auto"/>
      </w:divBdr>
    </w:div>
    <w:div w:id="1854176320">
      <w:bodyDiv w:val="1"/>
      <w:marLeft w:val="0"/>
      <w:marRight w:val="0"/>
      <w:marTop w:val="0"/>
      <w:marBottom w:val="0"/>
      <w:divBdr>
        <w:top w:val="none" w:sz="0" w:space="0" w:color="auto"/>
        <w:left w:val="none" w:sz="0" w:space="0" w:color="auto"/>
        <w:bottom w:val="none" w:sz="0" w:space="0" w:color="auto"/>
        <w:right w:val="none" w:sz="0" w:space="0" w:color="auto"/>
      </w:divBdr>
    </w:div>
    <w:div w:id="1884518029">
      <w:bodyDiv w:val="1"/>
      <w:marLeft w:val="0"/>
      <w:marRight w:val="0"/>
      <w:marTop w:val="0"/>
      <w:marBottom w:val="0"/>
      <w:divBdr>
        <w:top w:val="none" w:sz="0" w:space="0" w:color="auto"/>
        <w:left w:val="none" w:sz="0" w:space="0" w:color="auto"/>
        <w:bottom w:val="none" w:sz="0" w:space="0" w:color="auto"/>
        <w:right w:val="none" w:sz="0" w:space="0" w:color="auto"/>
      </w:divBdr>
    </w:div>
    <w:div w:id="1967855408">
      <w:bodyDiv w:val="1"/>
      <w:marLeft w:val="0"/>
      <w:marRight w:val="0"/>
      <w:marTop w:val="0"/>
      <w:marBottom w:val="0"/>
      <w:divBdr>
        <w:top w:val="none" w:sz="0" w:space="0" w:color="auto"/>
        <w:left w:val="none" w:sz="0" w:space="0" w:color="auto"/>
        <w:bottom w:val="none" w:sz="0" w:space="0" w:color="auto"/>
        <w:right w:val="none" w:sz="0" w:space="0" w:color="auto"/>
      </w:divBdr>
    </w:div>
    <w:div w:id="2022463332">
      <w:bodyDiv w:val="1"/>
      <w:marLeft w:val="0"/>
      <w:marRight w:val="0"/>
      <w:marTop w:val="0"/>
      <w:marBottom w:val="0"/>
      <w:divBdr>
        <w:top w:val="none" w:sz="0" w:space="0" w:color="auto"/>
        <w:left w:val="none" w:sz="0" w:space="0" w:color="auto"/>
        <w:bottom w:val="none" w:sz="0" w:space="0" w:color="auto"/>
        <w:right w:val="none" w:sz="0" w:space="0" w:color="auto"/>
      </w:divBdr>
    </w:div>
    <w:div w:id="2123263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martina.silva@dbh.de"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secproport.de"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JP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a:themeElements>
    <a:clrScheme name="Benutzerdefiniert 76">
      <a:dk1>
        <a:sysClr val="windowText" lastClr="000000"/>
      </a:dk1>
      <a:lt1>
        <a:sysClr val="window" lastClr="FFFFFF"/>
      </a:lt1>
      <a:dk2>
        <a:srgbClr val="595959"/>
      </a:dk2>
      <a:lt2>
        <a:srgbClr val="D8D8D8"/>
      </a:lt2>
      <a:accent1>
        <a:srgbClr val="E30613"/>
      </a:accent1>
      <a:accent2>
        <a:srgbClr val="878787"/>
      </a:accent2>
      <a:accent3>
        <a:srgbClr val="B2B2B2"/>
      </a:accent3>
      <a:accent4>
        <a:srgbClr val="DDDDDD"/>
      </a:accent4>
      <a:accent5>
        <a:srgbClr val="EAEAEA"/>
      </a:accent5>
      <a:accent6>
        <a:srgbClr val="F8F8F8"/>
      </a:accent6>
      <a:hlink>
        <a:srgbClr val="000000"/>
      </a:hlink>
      <a:folHlink>
        <a:srgbClr val="000000"/>
      </a:folHlink>
    </a:clrScheme>
    <a:fontScheme name="Benutzerdefiniert 171">
      <a:majorFont>
        <a:latin typeface="UnitOT dbhMedi"/>
        <a:ea typeface=""/>
        <a:cs typeface=""/>
      </a:majorFont>
      <a:minorFont>
        <a:latin typeface="UnitOT dbh"/>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76455A-C071-4F3F-AD45-5EE22FECD5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1316</Words>
  <Characters>8291</Characters>
  <Application>Microsoft Office Word</Application>
  <DocSecurity>0</DocSecurity>
  <Lines>69</Lines>
  <Paragraphs>19</Paragraphs>
  <ScaleCrop>false</ScaleCrop>
  <HeadingPairs>
    <vt:vector size="2" baseType="variant">
      <vt:variant>
        <vt:lpstr>Titel</vt:lpstr>
      </vt:variant>
      <vt:variant>
        <vt:i4>1</vt:i4>
      </vt:variant>
    </vt:vector>
  </HeadingPairs>
  <TitlesOfParts>
    <vt:vector size="1" baseType="lpstr">
      <vt:lpstr>dbh Logistics IT AG</vt:lpstr>
    </vt:vector>
  </TitlesOfParts>
  <Company>dbh Logistics IT AG</Company>
  <LinksUpToDate>false</LinksUpToDate>
  <CharactersWithSpaces>9588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dbh Logistics IT AG</dc:title>
  <dc:creator>dbh Logistics IT AG</dc:creator>
  <cp:lastModifiedBy>Silva, Martina</cp:lastModifiedBy>
  <cp:revision>8</cp:revision>
  <cp:lastPrinted>2022-03-08T07:47:00Z</cp:lastPrinted>
  <dcterms:created xsi:type="dcterms:W3CDTF">2022-02-25T10:10:00Z</dcterms:created>
  <dcterms:modified xsi:type="dcterms:W3CDTF">2022-03-08T08:57:00Z</dcterms:modified>
</cp:coreProperties>
</file>