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184763" w:rsidP="00184763">
            <w:pPr>
              <w:pStyle w:val="berschrift2"/>
              <w:rPr>
                <w:rFonts w:ascii="QuaySansITCTT" w:hAnsi="QuaySansITCTT"/>
              </w:rPr>
            </w:pPr>
            <w:r w:rsidRPr="007727E9">
              <w:rPr>
                <w:rFonts w:ascii="QuaySansITCTT" w:hAnsi="QuaySansITCTT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63D4EF7" wp14:editId="790B1140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7727E9" w:rsidRPr="00AD38CB" w:rsidRDefault="00EF0324" w:rsidP="000D62D2">
      <w:pPr>
        <w:rPr>
          <w:rFonts w:ascii="Times New Roman" w:hAnsi="Times New Roman" w:cs="Times New Roman"/>
          <w:sz w:val="56"/>
          <w:szCs w:val="56"/>
        </w:rPr>
      </w:pPr>
      <w:r w:rsidRPr="00AD38CB">
        <w:rPr>
          <w:rFonts w:ascii="Times New Roman" w:hAnsi="Times New Roman" w:cs="Times New Roman"/>
          <w:sz w:val="56"/>
          <w:szCs w:val="56"/>
        </w:rPr>
        <w:t>Pressemitteilung</w:t>
      </w:r>
      <w:r w:rsidR="006C6AC6" w:rsidRPr="00AD38CB">
        <w:rPr>
          <w:rFonts w:ascii="Times New Roman" w:hAnsi="Times New Roman" w:cs="Times New Roman"/>
          <w:sz w:val="56"/>
          <w:szCs w:val="56"/>
        </w:rPr>
        <w:t xml:space="preserve"> </w:t>
      </w:r>
      <w:r w:rsidR="00991AE5">
        <w:rPr>
          <w:rFonts w:ascii="Times New Roman" w:hAnsi="Times New Roman" w:cs="Times New Roman"/>
          <w:sz w:val="56"/>
          <w:szCs w:val="56"/>
        </w:rPr>
        <w:t>1.05</w:t>
      </w:r>
      <w:r w:rsidR="006C6AC6" w:rsidRPr="00AD38CB">
        <w:rPr>
          <w:rFonts w:ascii="Times New Roman" w:hAnsi="Times New Roman" w:cs="Times New Roman"/>
          <w:sz w:val="56"/>
          <w:szCs w:val="56"/>
        </w:rPr>
        <w:t>/20</w:t>
      </w:r>
      <w:r w:rsidR="00991AE5">
        <w:rPr>
          <w:rFonts w:ascii="Times New Roman" w:hAnsi="Times New Roman" w:cs="Times New Roman"/>
          <w:sz w:val="56"/>
          <w:szCs w:val="56"/>
        </w:rPr>
        <w:t>19</w:t>
      </w:r>
    </w:p>
    <w:p w:rsidR="00A73816" w:rsidRDefault="006C6AC6" w:rsidP="00451831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7F1A51">
        <w:rPr>
          <w:rFonts w:ascii="Times New Roman" w:hAnsi="Times New Roman"/>
          <w:color w:val="auto"/>
          <w:sz w:val="22"/>
          <w:szCs w:val="22"/>
        </w:rPr>
        <w:tab/>
      </w:r>
      <w:r w:rsidR="00991AE5">
        <w:rPr>
          <w:rFonts w:ascii="Times New Roman" w:hAnsi="Times New Roman"/>
          <w:sz w:val="19"/>
          <w:szCs w:val="19"/>
        </w:rPr>
        <w:t>M12x1</w:t>
      </w:r>
      <w:r w:rsidR="00AC587F">
        <w:rPr>
          <w:rFonts w:ascii="Times New Roman" w:hAnsi="Times New Roman"/>
          <w:sz w:val="19"/>
          <w:szCs w:val="19"/>
        </w:rPr>
        <w:t xml:space="preserve"> </w:t>
      </w:r>
      <w:r w:rsidR="004E20F0">
        <w:rPr>
          <w:rFonts w:ascii="Times New Roman" w:hAnsi="Times New Roman"/>
          <w:sz w:val="19"/>
          <w:szCs w:val="19"/>
        </w:rPr>
        <w:t xml:space="preserve">2-teilige </w:t>
      </w:r>
      <w:r w:rsidR="00AC587F">
        <w:rPr>
          <w:rFonts w:ascii="Times New Roman" w:hAnsi="Times New Roman"/>
          <w:sz w:val="19"/>
          <w:szCs w:val="19"/>
        </w:rPr>
        <w:t>Leiterplatten</w:t>
      </w:r>
      <w:r w:rsidR="004E20F0">
        <w:rPr>
          <w:rFonts w:ascii="Times New Roman" w:hAnsi="Times New Roman"/>
          <w:sz w:val="19"/>
          <w:szCs w:val="19"/>
        </w:rPr>
        <w:t xml:space="preserve">flansche </w:t>
      </w:r>
      <w:r w:rsidR="00035A73">
        <w:rPr>
          <w:rFonts w:ascii="Times New Roman" w:hAnsi="Times New Roman"/>
          <w:sz w:val="19"/>
          <w:szCs w:val="19"/>
        </w:rPr>
        <w:t>gewinkelt</w:t>
      </w:r>
      <w:r w:rsidR="004E20F0">
        <w:rPr>
          <w:rFonts w:ascii="Times New Roman" w:hAnsi="Times New Roman"/>
          <w:sz w:val="19"/>
          <w:szCs w:val="19"/>
        </w:rPr>
        <w:t>, Isolierkörper</w:t>
      </w:r>
      <w:r w:rsidR="00035A73">
        <w:rPr>
          <w:rFonts w:ascii="Times New Roman" w:hAnsi="Times New Roman"/>
          <w:sz w:val="19"/>
          <w:szCs w:val="19"/>
        </w:rPr>
        <w:t xml:space="preserve"> mit O-R</w:t>
      </w:r>
      <w:r w:rsidR="00991AE5">
        <w:rPr>
          <w:rFonts w:ascii="Times New Roman" w:hAnsi="Times New Roman"/>
          <w:sz w:val="19"/>
          <w:szCs w:val="19"/>
        </w:rPr>
        <w:t>ing – für maximale Gestaltungsfreiheit</w:t>
      </w:r>
    </w:p>
    <w:p w:rsidR="00453CA0" w:rsidRPr="00453CA0" w:rsidRDefault="00453CA0" w:rsidP="00453CA0"/>
    <w:p w:rsidR="00265917" w:rsidRPr="0077504E" w:rsidRDefault="00473101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5408482" cy="2737627"/>
            <wp:effectExtent l="0" t="0" r="190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82" cy="27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0" w:rsidRPr="0077504E" w:rsidRDefault="00EC2EF2" w:rsidP="002967BF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941B2" wp14:editId="1CAA0BC1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BA1" w:rsidRPr="00A73816" w:rsidRDefault="00543BA1" w:rsidP="00473101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Bildtext</w:t>
                            </w:r>
                            <w:proofErr w:type="spellEnd"/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A738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M12x1 </w:t>
                            </w:r>
                            <w:proofErr w:type="spellStart"/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Isokörper</w:t>
                            </w:r>
                            <w:proofErr w:type="spellEnd"/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</w:t>
                            </w:r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winkelt</w:t>
                            </w:r>
                            <w:proofErr w:type="spellEnd"/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A-, D- L-</w:t>
                            </w:r>
                            <w:proofErr w:type="spellStart"/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codiert</w:t>
                            </w:r>
                            <w:proofErr w:type="spellEnd"/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mit</w:t>
                            </w:r>
                            <w:proofErr w:type="spellEnd"/>
                            <w:r w:rsidR="00A93D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O-R</w:t>
                            </w:r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ing plus </w:t>
                            </w:r>
                            <w:proofErr w:type="spellStart"/>
                            <w:r w:rsidR="00991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Gehäusekomponenten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543BA1" w:rsidRPr="00A73816" w:rsidRDefault="00543BA1" w:rsidP="00473101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Bildtext</w:t>
                      </w:r>
                      <w:proofErr w:type="spellEnd"/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A7381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M12x1 </w:t>
                      </w:r>
                      <w:proofErr w:type="spellStart"/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Isokörper</w:t>
                      </w:r>
                      <w:proofErr w:type="spellEnd"/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ge</w:t>
                      </w:r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winkelt</w:t>
                      </w:r>
                      <w:proofErr w:type="spellEnd"/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A-, D- L-</w:t>
                      </w:r>
                      <w:proofErr w:type="spellStart"/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codiert</w:t>
                      </w:r>
                      <w:proofErr w:type="spellEnd"/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mit</w:t>
                      </w:r>
                      <w:proofErr w:type="spellEnd"/>
                      <w:r w:rsidR="00A93D3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O-R</w:t>
                      </w:r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ing plus </w:t>
                      </w:r>
                      <w:proofErr w:type="spellStart"/>
                      <w:r w:rsidR="00991AE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Gehäusekomponenten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101" w:rsidRDefault="00473101" w:rsidP="00CC261E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146490" w:rsidRDefault="00146490" w:rsidP="0014649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E734A3" w:rsidRPr="00E734A3" w:rsidRDefault="00E734A3" w:rsidP="00E734A3">
      <w:pPr>
        <w:jc w:val="both"/>
        <w:rPr>
          <w:rFonts w:ascii="Times New Roman" w:hAnsi="Times New Roman" w:cs="Times New Roman"/>
          <w:sz w:val="20"/>
          <w:szCs w:val="20"/>
        </w:rPr>
      </w:pPr>
      <w:r w:rsidRPr="00E734A3">
        <w:rPr>
          <w:rFonts w:ascii="Times New Roman" w:hAnsi="Times New Roman" w:cs="Times New Roman"/>
          <w:sz w:val="20"/>
          <w:szCs w:val="20"/>
        </w:rPr>
        <w:t xml:space="preserve">An die moderne Geräteanschlusstechnik werden heute vielfältige Anforderungen gestellt. Dabei spielt nicht nur die Miniaturisierung im Motoren- und Maschinenbau eine Rolle sondern auch der erhöhte Leistungsbedarf für die Versorgung von Feldgeräten in der Automatisierungstechnik. Selbst unter rauen Umgebungsbedingungen muss eine sichere Datenübertragung gewährleistet sein. </w:t>
      </w:r>
    </w:p>
    <w:p w:rsidR="00E734A3" w:rsidRPr="00E734A3" w:rsidRDefault="00E734A3" w:rsidP="00E734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0F25" w:rsidRDefault="00E734A3" w:rsidP="00E734A3">
      <w:pPr>
        <w:jc w:val="both"/>
        <w:rPr>
          <w:rFonts w:ascii="Times New Roman" w:hAnsi="Times New Roman" w:cs="Times New Roman"/>
          <w:sz w:val="20"/>
          <w:szCs w:val="20"/>
        </w:rPr>
      </w:pPr>
      <w:r w:rsidRPr="00E734A3">
        <w:rPr>
          <w:rFonts w:ascii="Times New Roman" w:hAnsi="Times New Roman" w:cs="Times New Roman"/>
          <w:sz w:val="20"/>
          <w:szCs w:val="20"/>
        </w:rPr>
        <w:t>CONEC erweitert sein Sortiment für de</w:t>
      </w:r>
      <w:r>
        <w:rPr>
          <w:rFonts w:ascii="Times New Roman" w:hAnsi="Times New Roman" w:cs="Times New Roman"/>
          <w:sz w:val="20"/>
          <w:szCs w:val="20"/>
        </w:rPr>
        <w:t>n geräteseitigen Anschluss um M12</w:t>
      </w:r>
      <w:r w:rsidRPr="00E734A3">
        <w:rPr>
          <w:rFonts w:ascii="Times New Roman" w:hAnsi="Times New Roman" w:cs="Times New Roman"/>
          <w:sz w:val="20"/>
          <w:szCs w:val="20"/>
        </w:rPr>
        <w:t xml:space="preserve">x1 </w:t>
      </w:r>
      <w:r>
        <w:rPr>
          <w:rFonts w:ascii="Times New Roman" w:hAnsi="Times New Roman" w:cs="Times New Roman"/>
          <w:sz w:val="20"/>
          <w:szCs w:val="20"/>
        </w:rPr>
        <w:t xml:space="preserve">zweiteilige </w:t>
      </w:r>
      <w:r w:rsidR="004E20F0">
        <w:rPr>
          <w:rFonts w:ascii="Times New Roman" w:hAnsi="Times New Roman" w:cs="Times New Roman"/>
          <w:sz w:val="20"/>
          <w:szCs w:val="20"/>
        </w:rPr>
        <w:t>Leiterplatten</w:t>
      </w:r>
      <w:r w:rsidRPr="00E734A3">
        <w:rPr>
          <w:rFonts w:ascii="Times New Roman" w:hAnsi="Times New Roman" w:cs="Times New Roman"/>
          <w:sz w:val="20"/>
          <w:szCs w:val="20"/>
        </w:rPr>
        <w:t xml:space="preserve">flansche </w:t>
      </w:r>
      <w:r>
        <w:rPr>
          <w:rFonts w:ascii="Times New Roman" w:hAnsi="Times New Roman" w:cs="Times New Roman"/>
          <w:sz w:val="20"/>
          <w:szCs w:val="20"/>
        </w:rPr>
        <w:t>mi</w:t>
      </w:r>
      <w:r w:rsidR="000F725E">
        <w:rPr>
          <w:rFonts w:ascii="Times New Roman" w:hAnsi="Times New Roman" w:cs="Times New Roman"/>
          <w:sz w:val="20"/>
          <w:szCs w:val="20"/>
        </w:rPr>
        <w:t xml:space="preserve">t auf dem </w:t>
      </w:r>
      <w:proofErr w:type="spellStart"/>
      <w:r w:rsidR="000F725E">
        <w:rPr>
          <w:rFonts w:ascii="Times New Roman" w:hAnsi="Times New Roman" w:cs="Times New Roman"/>
          <w:sz w:val="20"/>
          <w:szCs w:val="20"/>
        </w:rPr>
        <w:t>Isokörper</w:t>
      </w:r>
      <w:proofErr w:type="spellEnd"/>
      <w:r w:rsidR="000F725E">
        <w:rPr>
          <w:rFonts w:ascii="Times New Roman" w:hAnsi="Times New Roman" w:cs="Times New Roman"/>
          <w:sz w:val="20"/>
          <w:szCs w:val="20"/>
        </w:rPr>
        <w:t xml:space="preserve"> </w:t>
      </w:r>
      <w:r w:rsidR="00035A73">
        <w:rPr>
          <w:rFonts w:ascii="Times New Roman" w:hAnsi="Times New Roman" w:cs="Times New Roman"/>
          <w:sz w:val="20"/>
          <w:szCs w:val="20"/>
        </w:rPr>
        <w:t>integriertem O-R</w:t>
      </w:r>
      <w:r w:rsidR="000F725E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F1A51" w:rsidRDefault="007F1A51" w:rsidP="007F32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Durch den O-</w:t>
      </w:r>
      <w:r w:rsidR="00A93D36">
        <w:rPr>
          <w:rFonts w:ascii="Times New Roman" w:hAnsi="Times New Roman" w:cs="Times New Roman"/>
          <w:sz w:val="20"/>
          <w:szCs w:val="20"/>
        </w:rPr>
        <w:t>Ring</w:t>
      </w:r>
      <w:r w:rsidRPr="000F725E">
        <w:rPr>
          <w:rFonts w:ascii="Times New Roman" w:hAnsi="Times New Roman" w:cs="Times New Roman"/>
          <w:sz w:val="20"/>
          <w:szCs w:val="20"/>
        </w:rPr>
        <w:t xml:space="preserve"> sind die Flanschsteckverbinder </w:t>
      </w:r>
      <w:r w:rsidR="00AC587F">
        <w:rPr>
          <w:rFonts w:ascii="Times New Roman" w:hAnsi="Times New Roman" w:cs="Times New Roman"/>
          <w:sz w:val="20"/>
          <w:szCs w:val="20"/>
        </w:rPr>
        <w:t xml:space="preserve">auch </w:t>
      </w:r>
      <w:r w:rsidRPr="000F725E">
        <w:rPr>
          <w:rFonts w:ascii="Times New Roman" w:hAnsi="Times New Roman" w:cs="Times New Roman"/>
          <w:sz w:val="20"/>
          <w:szCs w:val="20"/>
        </w:rPr>
        <w:t xml:space="preserve">im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ungesteckten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Zustand abgedichtet gegen Feuchtigkeit von außen.</w:t>
      </w:r>
      <w:r w:rsidR="00AC58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Die zweiteiligen </w:t>
      </w:r>
      <w:r w:rsidR="00AC587F">
        <w:rPr>
          <w:rFonts w:ascii="Times New Roman" w:hAnsi="Times New Roman" w:cs="Times New Roman"/>
          <w:sz w:val="20"/>
          <w:szCs w:val="20"/>
        </w:rPr>
        <w:t>Leiterplattenflansche stehen mit</w:t>
      </w:r>
      <w:r>
        <w:rPr>
          <w:rFonts w:ascii="Times New Roman" w:hAnsi="Times New Roman" w:cs="Times New Roman"/>
          <w:sz w:val="20"/>
          <w:szCs w:val="20"/>
        </w:rPr>
        <w:t xml:space="preserve"> A-Codierung in den Polzahl</w:t>
      </w:r>
      <w:r w:rsidR="004E20F0">
        <w:rPr>
          <w:rFonts w:ascii="Times New Roman" w:hAnsi="Times New Roman" w:cs="Times New Roman"/>
          <w:sz w:val="20"/>
          <w:szCs w:val="20"/>
        </w:rPr>
        <w:t>en 4-, 5, 8- und 12-pol. sowie 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-codiert </w:t>
      </w:r>
      <w:r w:rsidR="00AC587F">
        <w:rPr>
          <w:rFonts w:ascii="Times New Roman" w:hAnsi="Times New Roman" w:cs="Times New Roman"/>
          <w:sz w:val="20"/>
          <w:szCs w:val="20"/>
        </w:rPr>
        <w:t xml:space="preserve">4-pol. </w:t>
      </w:r>
      <w:r>
        <w:rPr>
          <w:rFonts w:ascii="Times New Roman" w:hAnsi="Times New Roman" w:cs="Times New Roman"/>
          <w:sz w:val="20"/>
          <w:szCs w:val="20"/>
        </w:rPr>
        <w:t xml:space="preserve">für </w:t>
      </w:r>
      <w:r w:rsidR="00AC587F">
        <w:rPr>
          <w:rFonts w:ascii="Times New Roman" w:hAnsi="Times New Roman" w:cs="Times New Roman"/>
          <w:sz w:val="20"/>
          <w:szCs w:val="20"/>
        </w:rPr>
        <w:t xml:space="preserve">die </w:t>
      </w:r>
      <w:r>
        <w:rPr>
          <w:rFonts w:ascii="Times New Roman" w:hAnsi="Times New Roman" w:cs="Times New Roman"/>
          <w:sz w:val="20"/>
          <w:szCs w:val="20"/>
        </w:rPr>
        <w:t xml:space="preserve">Front- und Hinterwandmontage zur Verfügung. </w:t>
      </w:r>
      <w:r w:rsidR="00AC587F">
        <w:rPr>
          <w:rFonts w:ascii="Times New Roman" w:hAnsi="Times New Roman" w:cs="Times New Roman"/>
          <w:sz w:val="20"/>
          <w:szCs w:val="20"/>
        </w:rPr>
        <w:t xml:space="preserve">Die L-codierte Variante ist für die Hinterwandmontage in den Polzahlen 4 und 4+FE erhältlich. 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Der Anwender kann die mit dem Isolierkörper bestückte Platine in verschiedene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Flanschgeometrien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montieren. Die CONEC-Flansche eignen sich zur Kombimontage und sind ideal für eine Konzeption, bei denen das M12x1 Gewinde der Gehäuse direkt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angeformt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ist. So wird eine maximale Gestaltungsfreiheit erzeugt.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Der mit gewinkelten Kontakten bestückte Isolierkörper wird in die Leiterplatte eingerastet und anschließend im Schwalllötbad oder per Selektivlötverfahren verarbeitet. Das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Steckergehäuse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wird im Gerät verschraubt und die Leiterplatte mit dem Kontakteinsatz mit diesem montiert, dabei kontaktiert das federnde Schirmblech das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Steckergehäuse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und stellt die Schirmverbindung sicher. </w:t>
      </w: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587F" w:rsidRDefault="00AC587F" w:rsidP="00AC587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QuaySansITCTT" w:hAnsi="QuaySansITCTT"/>
          <w:noProof/>
          <w:sz w:val="12"/>
          <w:szCs w:val="12"/>
          <w:lang w:bidi="ar-SA"/>
        </w:rPr>
        <w:drawing>
          <wp:inline distT="0" distB="0" distL="0" distR="0" wp14:anchorId="5E9DC494" wp14:editId="658B51C8">
            <wp:extent cx="5730838" cy="922017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Verteil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38" cy="9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7F" w:rsidRPr="000F725E" w:rsidRDefault="00AC587F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Im eingebauten und mit dem Gegenstück verriegelten Zustand wird die Schutzart IP67 erreicht. Die Stecker sind geeignet für Gehäusewandstärken von 2-3 mm und für Leiterplattendicken von 1,6 mm.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Durch die gewinkelte </w:t>
      </w:r>
      <w:proofErr w:type="spellStart"/>
      <w:r w:rsidRPr="000F725E">
        <w:rPr>
          <w:rFonts w:ascii="Times New Roman" w:hAnsi="Times New Roman" w:cs="Times New Roman"/>
          <w:sz w:val="20"/>
          <w:szCs w:val="20"/>
        </w:rPr>
        <w:t>Steckverbinderausführung</w:t>
      </w:r>
      <w:proofErr w:type="spellEnd"/>
      <w:r w:rsidRPr="000F725E">
        <w:rPr>
          <w:rFonts w:ascii="Times New Roman" w:hAnsi="Times New Roman" w:cs="Times New Roman"/>
          <w:sz w:val="20"/>
          <w:szCs w:val="20"/>
        </w:rPr>
        <w:t xml:space="preserve"> entsteht die Möglichkeit, die Leiterplatte liegend im Gerät anzuordnen, was wiederum die Montage erleichtert. 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Die neuen Flansche M12x1 erfüllen die speziellen Anforderungen des Marktes, denn sie sind: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•</w:t>
      </w:r>
      <w:r w:rsidRPr="000F725E">
        <w:rPr>
          <w:rFonts w:ascii="Times New Roman" w:hAnsi="Times New Roman" w:cs="Times New Roman"/>
          <w:sz w:val="20"/>
          <w:szCs w:val="20"/>
        </w:rPr>
        <w:tab/>
        <w:t>Zweiteilig (Trennung von Isolierkörper mit Flanschgehäuse)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•</w:t>
      </w:r>
      <w:r w:rsidRPr="000F725E">
        <w:rPr>
          <w:rFonts w:ascii="Times New Roman" w:hAnsi="Times New Roman" w:cs="Times New Roman"/>
          <w:sz w:val="20"/>
          <w:szCs w:val="20"/>
        </w:rPr>
        <w:tab/>
        <w:t>Modular im Aufbau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•</w:t>
      </w:r>
      <w:r w:rsidRPr="000F725E">
        <w:rPr>
          <w:rFonts w:ascii="Times New Roman" w:hAnsi="Times New Roman" w:cs="Times New Roman"/>
          <w:sz w:val="20"/>
          <w:szCs w:val="20"/>
        </w:rPr>
        <w:tab/>
        <w:t xml:space="preserve">O-Ring auf Isolierkörper 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Für die Front- und Hinterwandmontage</w:t>
      </w:r>
      <w:r w:rsidRPr="000F725E">
        <w:rPr>
          <w:rFonts w:ascii="Times New Roman" w:hAnsi="Times New Roman" w:cs="Times New Roman"/>
          <w:sz w:val="20"/>
          <w:szCs w:val="20"/>
        </w:rPr>
        <w:t xml:space="preserve"> geeignet</w:t>
      </w:r>
      <w:r>
        <w:rPr>
          <w:rFonts w:ascii="Times New Roman" w:hAnsi="Times New Roman" w:cs="Times New Roman"/>
          <w:sz w:val="20"/>
          <w:szCs w:val="20"/>
        </w:rPr>
        <w:t xml:space="preserve"> (L-</w:t>
      </w:r>
      <w:proofErr w:type="spellStart"/>
      <w:r>
        <w:rPr>
          <w:rFonts w:ascii="Times New Roman" w:hAnsi="Times New Roman" w:cs="Times New Roman"/>
          <w:sz w:val="20"/>
          <w:szCs w:val="20"/>
        </w:rPr>
        <w:t>cod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nur Hinterwandmontage)</w:t>
      </w:r>
    </w:p>
    <w:p w:rsidR="000F725E" w:rsidRPr="000F725E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•</w:t>
      </w:r>
      <w:r w:rsidRPr="000F725E">
        <w:rPr>
          <w:rFonts w:ascii="Times New Roman" w:hAnsi="Times New Roman" w:cs="Times New Roman"/>
          <w:sz w:val="20"/>
          <w:szCs w:val="20"/>
        </w:rPr>
        <w:tab/>
        <w:t>Für schnelle Datenübertragung geeignet (M12x1 D-Codierung)</w:t>
      </w:r>
    </w:p>
    <w:p w:rsidR="007F1A51" w:rsidRDefault="000F725E" w:rsidP="000F725E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•</w:t>
      </w:r>
      <w:r w:rsidRPr="000F725E">
        <w:rPr>
          <w:rFonts w:ascii="Times New Roman" w:hAnsi="Times New Roman" w:cs="Times New Roman"/>
          <w:sz w:val="20"/>
          <w:szCs w:val="20"/>
        </w:rPr>
        <w:tab/>
        <w:t>Für hohe Strombelastbarkeit bis zu 16 A (M12x1 L-Codierung)</w:t>
      </w:r>
    </w:p>
    <w:p w:rsidR="009E40CB" w:rsidRDefault="009E40CB" w:rsidP="008D31D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C36E9" w:rsidRDefault="003C36E9" w:rsidP="0008688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C587F" w:rsidRDefault="00AC587F" w:rsidP="0008688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CE2C5" wp14:editId="16447CB5">
                <wp:simplePos x="0" y="0"/>
                <wp:positionH relativeFrom="column">
                  <wp:posOffset>3255264</wp:posOffset>
                </wp:positionH>
                <wp:positionV relativeFrom="paragraph">
                  <wp:posOffset>13716</wp:posOffset>
                </wp:positionV>
                <wp:extent cx="2474595" cy="1261745"/>
                <wp:effectExtent l="0" t="0" r="2095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A1" w:rsidRPr="007A6FFE" w:rsidRDefault="00543BA1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991AE5" w:rsidRPr="00B74E6E" w:rsidRDefault="00AC587F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Antriebstechnik</w:t>
                            </w:r>
                            <w:r w:rsidR="00991AE5" w:rsidRPr="00B74E6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91AE5" w:rsidRPr="00B74E6E" w:rsidRDefault="00AC587F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Automatisierungstechnik</w:t>
                            </w:r>
                          </w:p>
                          <w:p w:rsidR="00991AE5" w:rsidRPr="00B74E6E" w:rsidRDefault="003069A0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Gehäuse- und Gerätebau</w:t>
                            </w:r>
                          </w:p>
                          <w:p w:rsidR="00991AE5" w:rsidRDefault="003069A0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Montage- und Fertigungslinien</w:t>
                            </w:r>
                          </w:p>
                          <w:p w:rsidR="003069A0" w:rsidRDefault="003069A0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Servomotoren</w:t>
                            </w:r>
                          </w:p>
                          <w:p w:rsidR="003069A0" w:rsidRPr="00B74E6E" w:rsidRDefault="003069A0" w:rsidP="00991AE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Steuerungstechnik</w:t>
                            </w:r>
                          </w:p>
                          <w:p w:rsidR="00991AE5" w:rsidRPr="00264570" w:rsidRDefault="00991AE5" w:rsidP="00991AE5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</w:p>
                          <w:p w:rsidR="00543BA1" w:rsidRPr="00264570" w:rsidRDefault="00543BA1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56.3pt;margin-top:1.1pt;width:194.85pt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" strokecolor="#95b3d7 [1940]">
                <v:textbox>
                  <w:txbxContent>
                    <w:p w:rsidR="00543BA1" w:rsidRPr="007A6FFE" w:rsidRDefault="00543BA1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991AE5" w:rsidRPr="00B74E6E" w:rsidRDefault="00AC587F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Antriebstechnik</w:t>
                      </w:r>
                      <w:r w:rsidR="00991AE5" w:rsidRPr="00B74E6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91AE5" w:rsidRPr="00B74E6E" w:rsidRDefault="00AC587F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Automatisierungstechnik</w:t>
                      </w:r>
                    </w:p>
                    <w:p w:rsidR="00991AE5" w:rsidRPr="00B74E6E" w:rsidRDefault="003069A0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Gehäuse- und Gerätebau</w:t>
                      </w:r>
                    </w:p>
                    <w:p w:rsidR="00991AE5" w:rsidRDefault="003069A0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Montage- und Fertigungslinien</w:t>
                      </w:r>
                    </w:p>
                    <w:p w:rsidR="003069A0" w:rsidRDefault="003069A0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Servomotoren</w:t>
                      </w:r>
                    </w:p>
                    <w:p w:rsidR="003069A0" w:rsidRPr="00B74E6E" w:rsidRDefault="003069A0" w:rsidP="00991AE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Steuerungstechnik</w:t>
                      </w:r>
                    </w:p>
                    <w:p w:rsidR="00991AE5" w:rsidRPr="00264570" w:rsidRDefault="00991AE5" w:rsidP="00991AE5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</w:p>
                    <w:p w:rsidR="00543BA1" w:rsidRPr="00264570" w:rsidRDefault="00543BA1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4AC25" wp14:editId="4DDD009A">
                <wp:simplePos x="0" y="0"/>
                <wp:positionH relativeFrom="column">
                  <wp:posOffset>0</wp:posOffset>
                </wp:positionH>
                <wp:positionV relativeFrom="paragraph">
                  <wp:posOffset>13716</wp:posOffset>
                </wp:positionV>
                <wp:extent cx="3255010" cy="1261872"/>
                <wp:effectExtent l="0" t="0" r="2159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6E" w:rsidRPr="007A6FFE" w:rsidRDefault="00B74E6E" w:rsidP="00B74E6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Merkmale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B74E6E" w:rsidRPr="00AC587F" w:rsidRDefault="00AC587F" w:rsidP="00AC58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87F">
                              <w:rPr>
                                <w:rFonts w:ascii="Times New Roman" w:hAnsi="Times New Roman" w:cs="Times New Roman"/>
                              </w:rPr>
                              <w:t>Großer Toleranzausgleich zwischen Platine und Flansch</w:t>
                            </w:r>
                          </w:p>
                          <w:p w:rsidR="00B74E6E" w:rsidRPr="00B74E6E" w:rsidRDefault="00B74E6E" w:rsidP="00B74E6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Für verschiedene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Flanschgeometrien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geeignet</w:t>
                            </w:r>
                          </w:p>
                          <w:p w:rsidR="00B74E6E" w:rsidRPr="00B74E6E" w:rsidRDefault="00B74E6E" w:rsidP="00B74E6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Geringe Belastungskräfte für die Platine</w:t>
                            </w:r>
                          </w:p>
                          <w:p w:rsidR="00B74E6E" w:rsidRDefault="00B74E6E" w:rsidP="00B74E6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Niedrige Übergangswiderstände der Schirmung</w:t>
                            </w:r>
                          </w:p>
                          <w:p w:rsidR="00543BA1" w:rsidRPr="00AC587F" w:rsidRDefault="00B74E6E" w:rsidP="00B92BA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Auch ohne CONEC Flanschgehäuse einsetzbar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left:0;text-align:left;margin-left:0;margin-top:1.1pt;width:256.3pt;height:9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" strokecolor="#95b3d7 [1940]">
                <v:textbox>
                  <w:txbxContent>
                    <w:p w:rsidR="00B74E6E" w:rsidRPr="007A6FFE" w:rsidRDefault="00B74E6E" w:rsidP="00B74E6E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Merkmale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B74E6E" w:rsidRPr="00AC587F" w:rsidRDefault="00AC587F" w:rsidP="00AC587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C587F">
                        <w:rPr>
                          <w:rFonts w:ascii="Times New Roman" w:hAnsi="Times New Roman" w:cs="Times New Roman"/>
                        </w:rPr>
                        <w:t>Großer Toleranzausgleich zwischen Platine und Flansch</w:t>
                      </w:r>
                    </w:p>
                    <w:p w:rsidR="00B74E6E" w:rsidRPr="00B74E6E" w:rsidRDefault="00B74E6E" w:rsidP="00B74E6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Für verschiedene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Flanschgeometrien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geeignet</w:t>
                      </w:r>
                    </w:p>
                    <w:p w:rsidR="00B74E6E" w:rsidRPr="00B74E6E" w:rsidRDefault="00B74E6E" w:rsidP="00B74E6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Geringe Belastungskräfte für die Platine</w:t>
                      </w:r>
                    </w:p>
                    <w:p w:rsidR="00B74E6E" w:rsidRDefault="00B74E6E" w:rsidP="00B74E6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Niedrige Übergangswiderstände der Schirmung</w:t>
                      </w:r>
                    </w:p>
                    <w:p w:rsidR="00543BA1" w:rsidRPr="00AC587F" w:rsidRDefault="00B74E6E" w:rsidP="00B92BA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Auch ohne CONEC Flanschgehäuse einsetzbar</w:t>
                      </w:r>
                    </w:p>
                  </w:txbxContent>
                </v:textbox>
              </v:shape>
            </w:pict>
          </mc:Fallback>
        </mc:AlternateContent>
      </w:r>
    </w:p>
    <w:p w:rsidR="00A23D75" w:rsidRPr="00504DCF" w:rsidRDefault="00A23D75" w:rsidP="00E7769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E77692" w:rsidRPr="007A6FFE" w:rsidRDefault="00E77692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925B2" w:rsidRDefault="008925B2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E2141C" w:rsidRDefault="00E2141C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086882" w:rsidRPr="00086882" w:rsidRDefault="00086882" w:rsidP="00E77692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</w:pPr>
      <w:r w:rsidRPr="00086882"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  <w:t>Technische Daten:</w:t>
      </w:r>
    </w:p>
    <w:p w:rsidR="00086882" w:rsidRPr="003C36E9" w:rsidRDefault="00086882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tbl>
      <w:tblPr>
        <w:tblStyle w:val="HellesRaster-Akzent11"/>
        <w:tblW w:w="9606" w:type="dxa"/>
        <w:tblLayout w:type="fixed"/>
        <w:tblLook w:val="0420" w:firstRow="1" w:lastRow="0" w:firstColumn="0" w:lastColumn="0" w:noHBand="0" w:noVBand="1"/>
      </w:tblPr>
      <w:tblGrid>
        <w:gridCol w:w="2200"/>
        <w:gridCol w:w="1310"/>
        <w:gridCol w:w="1276"/>
        <w:gridCol w:w="1276"/>
        <w:gridCol w:w="1276"/>
        <w:gridCol w:w="1134"/>
        <w:gridCol w:w="1134"/>
      </w:tblGrid>
      <w:tr w:rsidR="00AD14BD" w:rsidRPr="00AD14BD" w:rsidTr="005D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proofErr w:type="spellStart"/>
            <w:r w:rsidRPr="00AD14BD">
              <w:rPr>
                <w:rFonts w:ascii="Times New Roman" w:hAnsi="Times New Roman" w:cs="Times New Roman"/>
              </w:rPr>
              <w:t>Polzahl</w:t>
            </w:r>
            <w:proofErr w:type="spellEnd"/>
          </w:p>
        </w:tc>
        <w:tc>
          <w:tcPr>
            <w:tcW w:w="1310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D14BD">
              <w:rPr>
                <w:rFonts w:ascii="Times New Roman" w:hAnsi="Times New Roman" w:cs="Times New Roman"/>
              </w:rPr>
              <w:t>4 pol.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5 pol.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8 pol.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12 pol.</w:t>
            </w:r>
          </w:p>
        </w:tc>
        <w:tc>
          <w:tcPr>
            <w:tcW w:w="1134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pol.</w:t>
            </w:r>
          </w:p>
        </w:tc>
        <w:tc>
          <w:tcPr>
            <w:tcW w:w="1134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+ FE</w:t>
            </w:r>
          </w:p>
        </w:tc>
      </w:tr>
      <w:tr w:rsidR="00AD14BD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Codierung</w:t>
            </w:r>
          </w:p>
        </w:tc>
        <w:tc>
          <w:tcPr>
            <w:tcW w:w="1310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A, D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34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L</w:t>
            </w:r>
          </w:p>
        </w:tc>
      </w:tr>
      <w:tr w:rsidR="00AD14BD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Anschlussart </w:t>
            </w:r>
          </w:p>
        </w:tc>
        <w:tc>
          <w:tcPr>
            <w:tcW w:w="7406" w:type="dxa"/>
            <w:gridSpan w:val="6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4BD">
              <w:rPr>
                <w:rFonts w:ascii="Times New Roman" w:hAnsi="Times New Roman" w:cs="Times New Roman"/>
              </w:rPr>
              <w:t>print</w:t>
            </w:r>
            <w:proofErr w:type="spellEnd"/>
          </w:p>
        </w:tc>
      </w:tr>
      <w:tr w:rsidR="00AD14BD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Montageart </w:t>
            </w:r>
          </w:p>
        </w:tc>
        <w:tc>
          <w:tcPr>
            <w:tcW w:w="5138" w:type="dxa"/>
            <w:gridSpan w:val="4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14BD">
              <w:rPr>
                <w:rFonts w:ascii="Times New Roman" w:hAnsi="Times New Roman" w:cs="Times New Roman"/>
                <w:lang w:val="en-US"/>
              </w:rPr>
              <w:t xml:space="preserve">Front- / </w:t>
            </w:r>
            <w:proofErr w:type="spellStart"/>
            <w:r w:rsidRPr="00AD14BD">
              <w:rPr>
                <w:rFonts w:ascii="Times New Roman" w:hAnsi="Times New Roman" w:cs="Times New Roman"/>
                <w:lang w:val="en-US"/>
              </w:rPr>
              <w:t>Hinterwandmontage</w:t>
            </w:r>
            <w:proofErr w:type="spellEnd"/>
            <w:r w:rsidRPr="00AD14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14BD">
              <w:rPr>
                <w:rFonts w:ascii="Times New Roman" w:hAnsi="Times New Roman" w:cs="Times New Roman"/>
                <w:lang w:val="en-US"/>
              </w:rPr>
              <w:t>Hinterwandmontage</w:t>
            </w:r>
            <w:proofErr w:type="spellEnd"/>
          </w:p>
        </w:tc>
      </w:tr>
      <w:tr w:rsidR="00AD14BD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Bemessungsspannung</w:t>
            </w:r>
          </w:p>
        </w:tc>
        <w:tc>
          <w:tcPr>
            <w:tcW w:w="1310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250 V 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60 V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30 V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30 V</w:t>
            </w:r>
          </w:p>
        </w:tc>
        <w:tc>
          <w:tcPr>
            <w:tcW w:w="2268" w:type="dxa"/>
            <w:gridSpan w:val="2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63 V</w:t>
            </w:r>
          </w:p>
        </w:tc>
      </w:tr>
      <w:tr w:rsidR="00AD14BD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Strombelastbarkeit</w:t>
            </w:r>
          </w:p>
        </w:tc>
        <w:tc>
          <w:tcPr>
            <w:tcW w:w="1310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A @ 40°C</w:t>
            </w:r>
          </w:p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</w:p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A @ 40°C</w:t>
            </w: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1,5 A @ 40°C </w:t>
            </w:r>
          </w:p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1 A @ 40°C</w:t>
            </w:r>
          </w:p>
        </w:tc>
        <w:tc>
          <w:tcPr>
            <w:tcW w:w="2268" w:type="dxa"/>
            <w:gridSpan w:val="2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16 A @ 40°C</w:t>
            </w:r>
          </w:p>
        </w:tc>
      </w:tr>
      <w:tr w:rsidR="00AD14BD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Temperaturbereich</w:t>
            </w:r>
          </w:p>
        </w:tc>
        <w:tc>
          <w:tcPr>
            <w:tcW w:w="7406" w:type="dxa"/>
            <w:gridSpan w:val="6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-25°C … +85°C</w:t>
            </w:r>
          </w:p>
        </w:tc>
      </w:tr>
      <w:tr w:rsidR="00AD14BD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Steckzyklen</w:t>
            </w:r>
          </w:p>
        </w:tc>
        <w:tc>
          <w:tcPr>
            <w:tcW w:w="7406" w:type="dxa"/>
            <w:gridSpan w:val="6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&gt;= 100</w:t>
            </w:r>
          </w:p>
        </w:tc>
      </w:tr>
      <w:tr w:rsidR="00AD14BD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AD14BD" w:rsidRPr="00AD14BD" w:rsidRDefault="00AD14BD" w:rsidP="005D036E">
            <w:pPr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Schutzart</w:t>
            </w:r>
          </w:p>
        </w:tc>
        <w:tc>
          <w:tcPr>
            <w:tcW w:w="7406" w:type="dxa"/>
            <w:gridSpan w:val="6"/>
          </w:tcPr>
          <w:p w:rsidR="00AD14BD" w:rsidRPr="00AD14BD" w:rsidRDefault="00AD14BD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IP67</w:t>
            </w:r>
          </w:p>
        </w:tc>
      </w:tr>
    </w:tbl>
    <w:p w:rsidR="00654820" w:rsidRPr="00AD14BD" w:rsidRDefault="00654820" w:rsidP="00E77692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sectPr w:rsidR="00654820" w:rsidRPr="00AD14BD" w:rsidSect="005B5C15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A1" w:rsidRDefault="00543BA1">
      <w:r>
        <w:separator/>
      </w:r>
    </w:p>
    <w:p w:rsidR="00543BA1" w:rsidRDefault="00543BA1"/>
  </w:endnote>
  <w:endnote w:type="continuationSeparator" w:id="0">
    <w:p w:rsidR="00543BA1" w:rsidRDefault="00543BA1">
      <w:r>
        <w:continuationSeparator/>
      </w:r>
    </w:p>
    <w:p w:rsidR="00543BA1" w:rsidRDefault="00543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 w:rsidP="005D3B02">
    <w:pPr>
      <w:rPr>
        <w:rFonts w:ascii="Arial" w:hAnsi="Arial" w:cs="Arial"/>
        <w:i/>
        <w:color w:val="333333"/>
        <w:sz w:val="20"/>
        <w:szCs w:val="20"/>
      </w:rPr>
    </w:pPr>
  </w:p>
  <w:p w:rsidR="00543BA1" w:rsidRDefault="00543BA1" w:rsidP="005D3B02">
    <w:pPr>
      <w:rPr>
        <w:rFonts w:ascii="Arial" w:hAnsi="Arial" w:cs="Arial"/>
        <w:i/>
        <w:color w:val="333333"/>
        <w:sz w:val="20"/>
        <w:szCs w:val="20"/>
      </w:rPr>
    </w:pPr>
  </w:p>
  <w:p w:rsidR="00543BA1" w:rsidRPr="005D3B02" w:rsidRDefault="00543BA1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Fuzeile"/>
    </w:pPr>
  </w:p>
  <w:p w:rsidR="00543BA1" w:rsidRPr="00B043F4" w:rsidRDefault="00543BA1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A1" w:rsidRDefault="00543BA1">
      <w:r>
        <w:separator/>
      </w:r>
    </w:p>
    <w:p w:rsidR="00543BA1" w:rsidRDefault="00543BA1"/>
  </w:footnote>
  <w:footnote w:type="continuationSeparator" w:id="0">
    <w:p w:rsidR="00543BA1" w:rsidRDefault="00543BA1">
      <w:r>
        <w:continuationSeparator/>
      </w:r>
    </w:p>
    <w:p w:rsidR="00543BA1" w:rsidRDefault="00543B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Kopfzeile"/>
    </w:pPr>
  </w:p>
  <w:p w:rsidR="00543BA1" w:rsidRDefault="00543B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A1" w:rsidRDefault="00543BA1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4E20F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0AC6705"/>
    <w:multiLevelType w:val="hybridMultilevel"/>
    <w:tmpl w:val="F04E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15C99"/>
    <w:rsid w:val="0002035C"/>
    <w:rsid w:val="0002115D"/>
    <w:rsid w:val="00022777"/>
    <w:rsid w:val="00035A73"/>
    <w:rsid w:val="00055297"/>
    <w:rsid w:val="000676D0"/>
    <w:rsid w:val="00070904"/>
    <w:rsid w:val="00072B06"/>
    <w:rsid w:val="00081DDD"/>
    <w:rsid w:val="00086882"/>
    <w:rsid w:val="0008762A"/>
    <w:rsid w:val="00095D23"/>
    <w:rsid w:val="00097F8C"/>
    <w:rsid w:val="000A119F"/>
    <w:rsid w:val="000B47A7"/>
    <w:rsid w:val="000B744D"/>
    <w:rsid w:val="000C14C7"/>
    <w:rsid w:val="000C7F85"/>
    <w:rsid w:val="000D2493"/>
    <w:rsid w:val="000D62D2"/>
    <w:rsid w:val="000D7DB0"/>
    <w:rsid w:val="000E5155"/>
    <w:rsid w:val="000F5FEC"/>
    <w:rsid w:val="000F725E"/>
    <w:rsid w:val="001011EF"/>
    <w:rsid w:val="00112705"/>
    <w:rsid w:val="0011393E"/>
    <w:rsid w:val="00123030"/>
    <w:rsid w:val="00125E0A"/>
    <w:rsid w:val="00136170"/>
    <w:rsid w:val="00143F58"/>
    <w:rsid w:val="00146490"/>
    <w:rsid w:val="0015439F"/>
    <w:rsid w:val="00163F1E"/>
    <w:rsid w:val="001656FB"/>
    <w:rsid w:val="001662FC"/>
    <w:rsid w:val="00167B66"/>
    <w:rsid w:val="00182163"/>
    <w:rsid w:val="00184763"/>
    <w:rsid w:val="001935B8"/>
    <w:rsid w:val="001A0FCC"/>
    <w:rsid w:val="001A1E44"/>
    <w:rsid w:val="001C0756"/>
    <w:rsid w:val="001D10D7"/>
    <w:rsid w:val="001D1DA7"/>
    <w:rsid w:val="00213117"/>
    <w:rsid w:val="00215B07"/>
    <w:rsid w:val="00216FCA"/>
    <w:rsid w:val="002455BD"/>
    <w:rsid w:val="00250B82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B4D4B"/>
    <w:rsid w:val="002C1A05"/>
    <w:rsid w:val="002C78AB"/>
    <w:rsid w:val="002E36A2"/>
    <w:rsid w:val="00305CB0"/>
    <w:rsid w:val="003069A0"/>
    <w:rsid w:val="00312204"/>
    <w:rsid w:val="00322D0E"/>
    <w:rsid w:val="00331876"/>
    <w:rsid w:val="00337C35"/>
    <w:rsid w:val="00341D6C"/>
    <w:rsid w:val="003428EE"/>
    <w:rsid w:val="00343B73"/>
    <w:rsid w:val="00343C06"/>
    <w:rsid w:val="0034536B"/>
    <w:rsid w:val="0036013D"/>
    <w:rsid w:val="003610A7"/>
    <w:rsid w:val="00370051"/>
    <w:rsid w:val="003719B2"/>
    <w:rsid w:val="00372581"/>
    <w:rsid w:val="003802AD"/>
    <w:rsid w:val="00392525"/>
    <w:rsid w:val="003B12A1"/>
    <w:rsid w:val="003C0C9F"/>
    <w:rsid w:val="003C36E9"/>
    <w:rsid w:val="003D0269"/>
    <w:rsid w:val="003D43B9"/>
    <w:rsid w:val="003E42C1"/>
    <w:rsid w:val="003E59A2"/>
    <w:rsid w:val="003F00D6"/>
    <w:rsid w:val="00427768"/>
    <w:rsid w:val="00436025"/>
    <w:rsid w:val="00443A7B"/>
    <w:rsid w:val="00444229"/>
    <w:rsid w:val="00451831"/>
    <w:rsid w:val="00453CA0"/>
    <w:rsid w:val="00453FED"/>
    <w:rsid w:val="00466151"/>
    <w:rsid w:val="00473101"/>
    <w:rsid w:val="00474F14"/>
    <w:rsid w:val="00491F39"/>
    <w:rsid w:val="004B0DE3"/>
    <w:rsid w:val="004C2DF5"/>
    <w:rsid w:val="004C3C49"/>
    <w:rsid w:val="004D2079"/>
    <w:rsid w:val="004D75FB"/>
    <w:rsid w:val="004E20F0"/>
    <w:rsid w:val="00504DCF"/>
    <w:rsid w:val="005076B6"/>
    <w:rsid w:val="005134FC"/>
    <w:rsid w:val="005426C4"/>
    <w:rsid w:val="005434E8"/>
    <w:rsid w:val="00543BA1"/>
    <w:rsid w:val="00555C6C"/>
    <w:rsid w:val="005607C8"/>
    <w:rsid w:val="0056302F"/>
    <w:rsid w:val="005672A0"/>
    <w:rsid w:val="0059437F"/>
    <w:rsid w:val="00595099"/>
    <w:rsid w:val="005962C5"/>
    <w:rsid w:val="005B1FD3"/>
    <w:rsid w:val="005B5C15"/>
    <w:rsid w:val="005C2956"/>
    <w:rsid w:val="005C2AE2"/>
    <w:rsid w:val="005C4B17"/>
    <w:rsid w:val="005C51C1"/>
    <w:rsid w:val="005D3B02"/>
    <w:rsid w:val="005D477C"/>
    <w:rsid w:val="005E152F"/>
    <w:rsid w:val="005E2C53"/>
    <w:rsid w:val="006109D3"/>
    <w:rsid w:val="00616982"/>
    <w:rsid w:val="006261BD"/>
    <w:rsid w:val="0062755B"/>
    <w:rsid w:val="00627765"/>
    <w:rsid w:val="00630640"/>
    <w:rsid w:val="00641632"/>
    <w:rsid w:val="00645526"/>
    <w:rsid w:val="006513A8"/>
    <w:rsid w:val="00654820"/>
    <w:rsid w:val="006568FF"/>
    <w:rsid w:val="00660D58"/>
    <w:rsid w:val="00681752"/>
    <w:rsid w:val="0069076D"/>
    <w:rsid w:val="00694C63"/>
    <w:rsid w:val="006B1578"/>
    <w:rsid w:val="006B5421"/>
    <w:rsid w:val="006C6AC6"/>
    <w:rsid w:val="006C75C0"/>
    <w:rsid w:val="006D50E2"/>
    <w:rsid w:val="006E0F25"/>
    <w:rsid w:val="006E1FEB"/>
    <w:rsid w:val="006E6C4E"/>
    <w:rsid w:val="0070263C"/>
    <w:rsid w:val="007443DF"/>
    <w:rsid w:val="00747CC4"/>
    <w:rsid w:val="00761B96"/>
    <w:rsid w:val="007727E9"/>
    <w:rsid w:val="0077504E"/>
    <w:rsid w:val="007822FC"/>
    <w:rsid w:val="0079080A"/>
    <w:rsid w:val="0079213C"/>
    <w:rsid w:val="00794544"/>
    <w:rsid w:val="007A6FFE"/>
    <w:rsid w:val="007B1DAC"/>
    <w:rsid w:val="007C2BC6"/>
    <w:rsid w:val="007D235E"/>
    <w:rsid w:val="007E655B"/>
    <w:rsid w:val="007E71D9"/>
    <w:rsid w:val="007F1128"/>
    <w:rsid w:val="007F1A51"/>
    <w:rsid w:val="007F32DA"/>
    <w:rsid w:val="007F35B6"/>
    <w:rsid w:val="008001EF"/>
    <w:rsid w:val="00813D8F"/>
    <w:rsid w:val="00813DF4"/>
    <w:rsid w:val="00817CEC"/>
    <w:rsid w:val="00825D6B"/>
    <w:rsid w:val="00830E6D"/>
    <w:rsid w:val="00834E31"/>
    <w:rsid w:val="00837E18"/>
    <w:rsid w:val="00844E2D"/>
    <w:rsid w:val="00854057"/>
    <w:rsid w:val="00885BD3"/>
    <w:rsid w:val="008876CF"/>
    <w:rsid w:val="008925B2"/>
    <w:rsid w:val="00896D01"/>
    <w:rsid w:val="008B5021"/>
    <w:rsid w:val="008B65C1"/>
    <w:rsid w:val="008B7CBC"/>
    <w:rsid w:val="008D11F3"/>
    <w:rsid w:val="008D31D0"/>
    <w:rsid w:val="008F6C31"/>
    <w:rsid w:val="00911616"/>
    <w:rsid w:val="009247E2"/>
    <w:rsid w:val="0093402A"/>
    <w:rsid w:val="00944828"/>
    <w:rsid w:val="009537DC"/>
    <w:rsid w:val="0095489C"/>
    <w:rsid w:val="009652FE"/>
    <w:rsid w:val="009658DC"/>
    <w:rsid w:val="00984351"/>
    <w:rsid w:val="00991AE5"/>
    <w:rsid w:val="00993B31"/>
    <w:rsid w:val="009E40CB"/>
    <w:rsid w:val="00A11D17"/>
    <w:rsid w:val="00A12BC0"/>
    <w:rsid w:val="00A23D75"/>
    <w:rsid w:val="00A35C9A"/>
    <w:rsid w:val="00A37DFB"/>
    <w:rsid w:val="00A51077"/>
    <w:rsid w:val="00A53F46"/>
    <w:rsid w:val="00A55878"/>
    <w:rsid w:val="00A73816"/>
    <w:rsid w:val="00A93D36"/>
    <w:rsid w:val="00A94C1C"/>
    <w:rsid w:val="00A97168"/>
    <w:rsid w:val="00AA591D"/>
    <w:rsid w:val="00AB18F9"/>
    <w:rsid w:val="00AC587F"/>
    <w:rsid w:val="00AC5A06"/>
    <w:rsid w:val="00AC5DCF"/>
    <w:rsid w:val="00AD14BD"/>
    <w:rsid w:val="00AD38CB"/>
    <w:rsid w:val="00AD58E6"/>
    <w:rsid w:val="00AD76F1"/>
    <w:rsid w:val="00AF706B"/>
    <w:rsid w:val="00B009CF"/>
    <w:rsid w:val="00B043F4"/>
    <w:rsid w:val="00B16D48"/>
    <w:rsid w:val="00B215FB"/>
    <w:rsid w:val="00B2526A"/>
    <w:rsid w:val="00B47F77"/>
    <w:rsid w:val="00B503C1"/>
    <w:rsid w:val="00B51D68"/>
    <w:rsid w:val="00B5621F"/>
    <w:rsid w:val="00B71D34"/>
    <w:rsid w:val="00B74E6E"/>
    <w:rsid w:val="00B85F76"/>
    <w:rsid w:val="00B92BA9"/>
    <w:rsid w:val="00BA2E8E"/>
    <w:rsid w:val="00BA6AE2"/>
    <w:rsid w:val="00BC3BE2"/>
    <w:rsid w:val="00BE411C"/>
    <w:rsid w:val="00BE7C0C"/>
    <w:rsid w:val="00BF5F1B"/>
    <w:rsid w:val="00BF719D"/>
    <w:rsid w:val="00C03F32"/>
    <w:rsid w:val="00C10B90"/>
    <w:rsid w:val="00C1359A"/>
    <w:rsid w:val="00C13BC2"/>
    <w:rsid w:val="00C27EAA"/>
    <w:rsid w:val="00C36075"/>
    <w:rsid w:val="00C45647"/>
    <w:rsid w:val="00C51DC0"/>
    <w:rsid w:val="00C65770"/>
    <w:rsid w:val="00C678E2"/>
    <w:rsid w:val="00C807DA"/>
    <w:rsid w:val="00C82E38"/>
    <w:rsid w:val="00CB37DC"/>
    <w:rsid w:val="00CC261E"/>
    <w:rsid w:val="00CC5E52"/>
    <w:rsid w:val="00CD46E3"/>
    <w:rsid w:val="00CE5C23"/>
    <w:rsid w:val="00CF55E4"/>
    <w:rsid w:val="00D0679E"/>
    <w:rsid w:val="00D07304"/>
    <w:rsid w:val="00D1219D"/>
    <w:rsid w:val="00D143D1"/>
    <w:rsid w:val="00D16508"/>
    <w:rsid w:val="00D21FD6"/>
    <w:rsid w:val="00D22AC2"/>
    <w:rsid w:val="00D31769"/>
    <w:rsid w:val="00D354D1"/>
    <w:rsid w:val="00D41B21"/>
    <w:rsid w:val="00D51903"/>
    <w:rsid w:val="00D618E8"/>
    <w:rsid w:val="00D97919"/>
    <w:rsid w:val="00DA12BF"/>
    <w:rsid w:val="00DA1F15"/>
    <w:rsid w:val="00DA47EA"/>
    <w:rsid w:val="00DA4AEE"/>
    <w:rsid w:val="00DC34FA"/>
    <w:rsid w:val="00DC64EF"/>
    <w:rsid w:val="00DF6DDF"/>
    <w:rsid w:val="00E04177"/>
    <w:rsid w:val="00E13BAF"/>
    <w:rsid w:val="00E17E07"/>
    <w:rsid w:val="00E2141C"/>
    <w:rsid w:val="00E26ABE"/>
    <w:rsid w:val="00E328B3"/>
    <w:rsid w:val="00E41525"/>
    <w:rsid w:val="00E47432"/>
    <w:rsid w:val="00E53B64"/>
    <w:rsid w:val="00E734A3"/>
    <w:rsid w:val="00E77692"/>
    <w:rsid w:val="00E80AE7"/>
    <w:rsid w:val="00E87942"/>
    <w:rsid w:val="00E87A69"/>
    <w:rsid w:val="00E949E4"/>
    <w:rsid w:val="00E9624A"/>
    <w:rsid w:val="00EA5942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E7F9A"/>
    <w:rsid w:val="00EF0324"/>
    <w:rsid w:val="00EF406E"/>
    <w:rsid w:val="00EF4F0D"/>
    <w:rsid w:val="00F03517"/>
    <w:rsid w:val="00F04A98"/>
    <w:rsid w:val="00F11C2D"/>
    <w:rsid w:val="00F27272"/>
    <w:rsid w:val="00F332C1"/>
    <w:rsid w:val="00F469C3"/>
    <w:rsid w:val="00F50F0C"/>
    <w:rsid w:val="00F52BF4"/>
    <w:rsid w:val="00F63089"/>
    <w:rsid w:val="00F6758C"/>
    <w:rsid w:val="00F85F49"/>
    <w:rsid w:val="00F910B0"/>
    <w:rsid w:val="00F92CC3"/>
    <w:rsid w:val="00F92FCC"/>
    <w:rsid w:val="00FB26D3"/>
    <w:rsid w:val="00FB4E7C"/>
    <w:rsid w:val="00FC3D18"/>
    <w:rsid w:val="00FC45A2"/>
    <w:rsid w:val="00FD74B5"/>
    <w:rsid w:val="00FF01E8"/>
    <w:rsid w:val="00FF10AB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0868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E2141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einLeerraum">
    <w:name w:val="No Spacing"/>
    <w:uiPriority w:val="1"/>
    <w:qFormat/>
    <w:rsid w:val="00F04A98"/>
    <w:rPr>
      <w:rFonts w:ascii="Century Gothic" w:hAnsi="Century Gothic" w:cs="Century Gothic"/>
      <w:spacing w:val="-5"/>
      <w:sz w:val="18"/>
      <w:szCs w:val="18"/>
      <w:lang w:bidi="he-IL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0868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E292-28D3-4B50-8234-3543608E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398</Words>
  <Characters>2674</Characters>
  <Application>Microsoft Office Word</Application>
  <DocSecurity>0</DocSecurity>
  <Lines>127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8</cp:revision>
  <cp:lastPrinted>2019-05-09T10:17:00Z</cp:lastPrinted>
  <dcterms:created xsi:type="dcterms:W3CDTF">2019-05-09T09:54:00Z</dcterms:created>
  <dcterms:modified xsi:type="dcterms:W3CDTF">2019-05-21T11:39:00Z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